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4D38" w14:textId="77777777" w:rsidR="00492C33" w:rsidRDefault="00492C33" w:rsidP="000F509B">
      <w:pPr>
        <w:spacing w:line="276" w:lineRule="auto"/>
        <w:jc w:val="center"/>
        <w:rPr>
          <w:rFonts w:ascii="Arial" w:hAnsi="Arial" w:cs="Arial"/>
          <w:b/>
          <w:bCs/>
          <w:sz w:val="22"/>
          <w:szCs w:val="22"/>
          <w:lang w:eastAsia="en-US"/>
        </w:rPr>
      </w:pPr>
    </w:p>
    <w:p w14:paraId="007A3E6A" w14:textId="741BD445" w:rsidR="000F509B" w:rsidRPr="00B44ECA" w:rsidRDefault="000F509B" w:rsidP="000F509B">
      <w:pPr>
        <w:spacing w:line="276" w:lineRule="auto"/>
        <w:jc w:val="center"/>
        <w:rPr>
          <w:rFonts w:ascii="Arial" w:hAnsi="Arial" w:cs="Arial"/>
          <w:b/>
          <w:bCs/>
          <w:sz w:val="22"/>
          <w:szCs w:val="22"/>
          <w:lang w:eastAsia="en-US"/>
        </w:rPr>
      </w:pPr>
      <w:r w:rsidRPr="00B44ECA">
        <w:rPr>
          <w:rFonts w:ascii="Arial" w:hAnsi="Arial" w:cs="Arial"/>
          <w:b/>
          <w:bCs/>
          <w:sz w:val="22"/>
          <w:szCs w:val="22"/>
          <w:lang w:eastAsia="en-US"/>
        </w:rPr>
        <w:t>Dixons Carphone plc</w:t>
      </w:r>
    </w:p>
    <w:p w14:paraId="6CB92559" w14:textId="77777777" w:rsidR="000F509B" w:rsidRPr="00B44ECA" w:rsidRDefault="000F509B" w:rsidP="000F509B">
      <w:pPr>
        <w:spacing w:line="276" w:lineRule="auto"/>
        <w:jc w:val="center"/>
        <w:rPr>
          <w:rFonts w:ascii="Arial" w:hAnsi="Arial" w:cs="Arial"/>
          <w:sz w:val="22"/>
          <w:szCs w:val="22"/>
          <w:lang w:eastAsia="en-US"/>
        </w:rPr>
      </w:pPr>
    </w:p>
    <w:p w14:paraId="15DAB40F" w14:textId="77777777" w:rsidR="000F509B" w:rsidRPr="00B44ECA" w:rsidRDefault="00B44ECA" w:rsidP="000F509B">
      <w:pPr>
        <w:keepNext/>
        <w:spacing w:line="276" w:lineRule="auto"/>
        <w:jc w:val="center"/>
        <w:outlineLvl w:val="0"/>
        <w:rPr>
          <w:rFonts w:ascii="Arial" w:hAnsi="Arial" w:cs="Arial"/>
          <w:bCs/>
          <w:sz w:val="22"/>
          <w:szCs w:val="22"/>
          <w:lang w:eastAsia="en-US"/>
        </w:rPr>
      </w:pPr>
      <w:r w:rsidRPr="00B44ECA">
        <w:rPr>
          <w:rFonts w:ascii="Arial" w:hAnsi="Arial" w:cs="Arial"/>
          <w:b/>
          <w:bCs/>
          <w:sz w:val="22"/>
          <w:szCs w:val="22"/>
          <w:lang w:eastAsia="en-US"/>
        </w:rPr>
        <w:t>Terms of Reference of the Remuneration Committee</w:t>
      </w:r>
    </w:p>
    <w:p w14:paraId="023A51AF" w14:textId="51DB1B7D" w:rsidR="000F509B" w:rsidRPr="00B44ECA" w:rsidRDefault="009C1087" w:rsidP="000F509B">
      <w:pPr>
        <w:spacing w:line="276" w:lineRule="auto"/>
        <w:jc w:val="center"/>
        <w:rPr>
          <w:rFonts w:ascii="Arial" w:hAnsi="Arial" w:cs="Arial"/>
          <w:sz w:val="22"/>
          <w:szCs w:val="22"/>
          <w:lang w:eastAsia="en-US"/>
        </w:rPr>
      </w:pPr>
      <w:r>
        <w:rPr>
          <w:rFonts w:ascii="Arial" w:hAnsi="Arial" w:cs="Arial"/>
          <w:sz w:val="22"/>
          <w:szCs w:val="22"/>
          <w:lang w:eastAsia="en-US"/>
        </w:rPr>
        <w:t>(</w:t>
      </w:r>
      <w:r w:rsidR="002730C7">
        <w:rPr>
          <w:rFonts w:ascii="Arial" w:hAnsi="Arial" w:cs="Arial"/>
          <w:sz w:val="22"/>
          <w:szCs w:val="22"/>
          <w:lang w:eastAsia="en-US"/>
        </w:rPr>
        <w:t>a</w:t>
      </w:r>
      <w:r w:rsidR="000F509B" w:rsidRPr="00B44ECA">
        <w:rPr>
          <w:rFonts w:ascii="Arial" w:hAnsi="Arial" w:cs="Arial"/>
          <w:sz w:val="22"/>
          <w:szCs w:val="22"/>
          <w:lang w:eastAsia="en-US"/>
        </w:rPr>
        <w:t xml:space="preserve">pproved by the Board on </w:t>
      </w:r>
      <w:r w:rsidR="003002E8">
        <w:rPr>
          <w:rFonts w:ascii="Arial" w:hAnsi="Arial" w:cs="Arial"/>
          <w:sz w:val="22"/>
          <w:szCs w:val="22"/>
          <w:lang w:eastAsia="en-US"/>
        </w:rPr>
        <w:t xml:space="preserve">21 </w:t>
      </w:r>
      <w:r w:rsidR="00BF0345">
        <w:rPr>
          <w:rFonts w:ascii="Arial" w:hAnsi="Arial" w:cs="Arial"/>
          <w:sz w:val="22"/>
          <w:szCs w:val="22"/>
          <w:lang w:eastAsia="en-US"/>
        </w:rPr>
        <w:t xml:space="preserve">January </w:t>
      </w:r>
      <w:bookmarkStart w:id="0" w:name="_GoBack"/>
      <w:r w:rsidR="003002E8">
        <w:rPr>
          <w:rFonts w:ascii="Arial" w:hAnsi="Arial" w:cs="Arial"/>
          <w:sz w:val="22"/>
          <w:szCs w:val="22"/>
          <w:lang w:eastAsia="en-US"/>
        </w:rPr>
        <w:t>2021</w:t>
      </w:r>
      <w:bookmarkEnd w:id="0"/>
      <w:r>
        <w:rPr>
          <w:rFonts w:ascii="Arial" w:hAnsi="Arial" w:cs="Arial"/>
          <w:sz w:val="22"/>
          <w:szCs w:val="22"/>
          <w:lang w:eastAsia="en-US"/>
        </w:rPr>
        <w:t>)</w:t>
      </w:r>
    </w:p>
    <w:p w14:paraId="125C5CD3" w14:textId="77777777" w:rsidR="000F509B" w:rsidRPr="000F509B" w:rsidRDefault="000F509B" w:rsidP="000F509B">
      <w:pPr>
        <w:spacing w:line="276" w:lineRule="auto"/>
        <w:jc w:val="center"/>
        <w:rPr>
          <w:rFonts w:ascii="Arial" w:hAnsi="Arial" w:cs="Arial"/>
          <w:b/>
          <w:sz w:val="22"/>
          <w:szCs w:val="22"/>
          <w:lang w:eastAsia="en-US"/>
        </w:rPr>
      </w:pPr>
    </w:p>
    <w:p w14:paraId="7C61D19C" w14:textId="77777777" w:rsidR="00ED4D46" w:rsidRPr="000F509B" w:rsidRDefault="00ED4D46" w:rsidP="00ED4D46">
      <w:pPr>
        <w:spacing w:line="276" w:lineRule="auto"/>
        <w:jc w:val="both"/>
        <w:rPr>
          <w:rFonts w:ascii="Arial" w:hAnsi="Arial" w:cs="Arial"/>
          <w:sz w:val="22"/>
          <w:szCs w:val="22"/>
          <w:lang w:eastAsia="en-US"/>
        </w:rPr>
      </w:pPr>
      <w:r w:rsidRPr="000F509B">
        <w:rPr>
          <w:rFonts w:ascii="Arial" w:hAnsi="Arial" w:cs="Arial"/>
          <w:sz w:val="22"/>
          <w:szCs w:val="22"/>
          <w:lang w:eastAsia="en-US"/>
        </w:rPr>
        <w:t xml:space="preserve">Reference to </w:t>
      </w:r>
      <w:r w:rsidR="00B44ECA">
        <w:rPr>
          <w:rFonts w:ascii="Arial" w:hAnsi="Arial" w:cs="Arial"/>
          <w:sz w:val="22"/>
          <w:szCs w:val="22"/>
          <w:lang w:eastAsia="en-US"/>
        </w:rPr>
        <w:t>‘</w:t>
      </w:r>
      <w:r w:rsidRPr="000F509B">
        <w:rPr>
          <w:rFonts w:ascii="Arial" w:hAnsi="Arial" w:cs="Arial"/>
          <w:sz w:val="22"/>
          <w:szCs w:val="22"/>
          <w:lang w:eastAsia="en-US"/>
        </w:rPr>
        <w:t>the Committee</w:t>
      </w:r>
      <w:r w:rsidR="00B44ECA">
        <w:rPr>
          <w:rFonts w:ascii="Arial" w:hAnsi="Arial" w:cs="Arial"/>
          <w:sz w:val="22"/>
          <w:szCs w:val="22"/>
          <w:lang w:eastAsia="en-US"/>
        </w:rPr>
        <w:t>’</w:t>
      </w:r>
      <w:r w:rsidRPr="000F509B">
        <w:rPr>
          <w:rFonts w:ascii="Arial" w:hAnsi="Arial" w:cs="Arial"/>
          <w:sz w:val="22"/>
          <w:szCs w:val="22"/>
          <w:lang w:eastAsia="en-US"/>
        </w:rPr>
        <w:t xml:space="preserve"> shall mean the Remuneration Committee of the Company.</w:t>
      </w:r>
    </w:p>
    <w:p w14:paraId="4FB33F0A" w14:textId="77777777" w:rsidR="00ED4D46" w:rsidRPr="000F509B" w:rsidRDefault="00ED4D46" w:rsidP="00ED4D46">
      <w:pPr>
        <w:spacing w:line="276" w:lineRule="auto"/>
        <w:jc w:val="both"/>
        <w:rPr>
          <w:rFonts w:ascii="Arial" w:hAnsi="Arial" w:cs="Arial"/>
          <w:sz w:val="22"/>
          <w:szCs w:val="22"/>
          <w:lang w:eastAsia="en-US"/>
        </w:rPr>
      </w:pPr>
      <w:r w:rsidRPr="000F509B">
        <w:rPr>
          <w:rFonts w:ascii="Arial" w:hAnsi="Arial" w:cs="Arial"/>
          <w:sz w:val="22"/>
          <w:szCs w:val="22"/>
          <w:lang w:eastAsia="en-US"/>
        </w:rPr>
        <w:t xml:space="preserve">Reference to </w:t>
      </w:r>
      <w:r w:rsidR="00B44ECA">
        <w:rPr>
          <w:rFonts w:ascii="Arial" w:hAnsi="Arial" w:cs="Arial"/>
          <w:sz w:val="22"/>
          <w:szCs w:val="22"/>
          <w:lang w:eastAsia="en-US"/>
        </w:rPr>
        <w:t>‘</w:t>
      </w:r>
      <w:r w:rsidRPr="000F509B">
        <w:rPr>
          <w:rFonts w:ascii="Arial" w:hAnsi="Arial" w:cs="Arial"/>
          <w:sz w:val="22"/>
          <w:szCs w:val="22"/>
          <w:lang w:eastAsia="en-US"/>
        </w:rPr>
        <w:t>the Board</w:t>
      </w:r>
      <w:r w:rsidR="00B44ECA">
        <w:rPr>
          <w:rFonts w:ascii="Arial" w:hAnsi="Arial" w:cs="Arial"/>
          <w:sz w:val="22"/>
          <w:szCs w:val="22"/>
          <w:lang w:eastAsia="en-US"/>
        </w:rPr>
        <w:t>’</w:t>
      </w:r>
      <w:r w:rsidRPr="000F509B">
        <w:rPr>
          <w:rFonts w:ascii="Arial" w:hAnsi="Arial" w:cs="Arial"/>
          <w:sz w:val="22"/>
          <w:szCs w:val="22"/>
          <w:lang w:eastAsia="en-US"/>
        </w:rPr>
        <w:t xml:space="preserve"> shall mean the Board of Directors of Dixons Carphone plc.</w:t>
      </w:r>
    </w:p>
    <w:p w14:paraId="2A8635BB" w14:textId="77777777" w:rsidR="00ED4D46" w:rsidRPr="000F509B" w:rsidRDefault="00ED4D46" w:rsidP="00ED4D46">
      <w:pPr>
        <w:spacing w:line="276" w:lineRule="auto"/>
        <w:jc w:val="both"/>
        <w:rPr>
          <w:rFonts w:ascii="Arial" w:hAnsi="Arial" w:cs="Arial"/>
          <w:sz w:val="22"/>
          <w:szCs w:val="22"/>
          <w:lang w:eastAsia="en-US"/>
        </w:rPr>
      </w:pPr>
      <w:r w:rsidRPr="000F509B">
        <w:rPr>
          <w:rFonts w:ascii="Arial" w:hAnsi="Arial" w:cs="Arial"/>
          <w:sz w:val="22"/>
          <w:szCs w:val="22"/>
          <w:lang w:eastAsia="en-US"/>
        </w:rPr>
        <w:t xml:space="preserve">Reference to </w:t>
      </w:r>
      <w:r w:rsidR="00B44ECA">
        <w:rPr>
          <w:rFonts w:ascii="Arial" w:hAnsi="Arial" w:cs="Arial"/>
          <w:sz w:val="22"/>
          <w:szCs w:val="22"/>
          <w:lang w:eastAsia="en-US"/>
        </w:rPr>
        <w:t>‘</w:t>
      </w:r>
      <w:r w:rsidRPr="000F509B">
        <w:rPr>
          <w:rFonts w:ascii="Arial" w:hAnsi="Arial" w:cs="Arial"/>
          <w:sz w:val="22"/>
          <w:szCs w:val="22"/>
          <w:lang w:eastAsia="en-US"/>
        </w:rPr>
        <w:t>the Company</w:t>
      </w:r>
      <w:r w:rsidR="00B44ECA">
        <w:rPr>
          <w:rFonts w:ascii="Arial" w:hAnsi="Arial" w:cs="Arial"/>
          <w:sz w:val="22"/>
          <w:szCs w:val="22"/>
          <w:lang w:eastAsia="en-US"/>
        </w:rPr>
        <w:t>’</w:t>
      </w:r>
      <w:r w:rsidRPr="000F509B">
        <w:rPr>
          <w:rFonts w:ascii="Arial" w:hAnsi="Arial" w:cs="Arial"/>
          <w:sz w:val="22"/>
          <w:szCs w:val="22"/>
          <w:lang w:eastAsia="en-US"/>
        </w:rPr>
        <w:t xml:space="preserve"> shall mean Dixons Carphone plc.</w:t>
      </w:r>
    </w:p>
    <w:p w14:paraId="79C80B44" w14:textId="455BA2BE" w:rsidR="00ED4D46" w:rsidRDefault="00B44ECA" w:rsidP="00ED4D46">
      <w:pPr>
        <w:spacing w:line="276" w:lineRule="auto"/>
        <w:jc w:val="both"/>
        <w:rPr>
          <w:rFonts w:ascii="Arial" w:hAnsi="Arial" w:cs="Arial"/>
          <w:sz w:val="22"/>
          <w:szCs w:val="22"/>
          <w:lang w:eastAsia="en-US"/>
        </w:rPr>
      </w:pPr>
      <w:r>
        <w:rPr>
          <w:rFonts w:ascii="Arial" w:hAnsi="Arial" w:cs="Arial"/>
          <w:sz w:val="22"/>
          <w:szCs w:val="22"/>
          <w:lang w:eastAsia="en-US"/>
        </w:rPr>
        <w:t>Reference to ‘</w:t>
      </w:r>
      <w:r w:rsidR="00ED4D46" w:rsidRPr="000F509B">
        <w:rPr>
          <w:rFonts w:ascii="Arial" w:hAnsi="Arial" w:cs="Arial"/>
          <w:sz w:val="22"/>
          <w:szCs w:val="22"/>
          <w:lang w:eastAsia="en-US"/>
        </w:rPr>
        <w:t>the Group</w:t>
      </w:r>
      <w:r>
        <w:rPr>
          <w:rFonts w:ascii="Arial" w:hAnsi="Arial" w:cs="Arial"/>
          <w:sz w:val="22"/>
          <w:szCs w:val="22"/>
          <w:lang w:eastAsia="en-US"/>
        </w:rPr>
        <w:t>’</w:t>
      </w:r>
      <w:r w:rsidR="00ED4D46" w:rsidRPr="000F509B">
        <w:rPr>
          <w:rFonts w:ascii="Arial" w:hAnsi="Arial" w:cs="Arial"/>
          <w:sz w:val="22"/>
          <w:szCs w:val="22"/>
          <w:lang w:eastAsia="en-US"/>
        </w:rPr>
        <w:t xml:space="preserve"> shall mean the Dixons Carphone group of companies.</w:t>
      </w:r>
    </w:p>
    <w:p w14:paraId="677F2691" w14:textId="77F4FF90" w:rsidR="008E474F" w:rsidRPr="000F509B" w:rsidRDefault="008E474F" w:rsidP="00ED4D46">
      <w:pPr>
        <w:spacing w:line="276" w:lineRule="auto"/>
        <w:jc w:val="both"/>
        <w:rPr>
          <w:rFonts w:ascii="Arial" w:hAnsi="Arial" w:cs="Arial"/>
          <w:sz w:val="22"/>
          <w:szCs w:val="22"/>
          <w:lang w:eastAsia="en-US"/>
        </w:rPr>
      </w:pPr>
      <w:r>
        <w:rPr>
          <w:rFonts w:ascii="Arial" w:hAnsi="Arial" w:cs="Arial"/>
          <w:sz w:val="22"/>
          <w:szCs w:val="22"/>
          <w:lang w:eastAsia="en-US"/>
        </w:rPr>
        <w:t>Reference to ‘senior management’ shall mean the Dixons Carphone Executive Committee members</w:t>
      </w:r>
      <w:r w:rsidR="005B1245">
        <w:rPr>
          <w:rFonts w:ascii="Arial" w:hAnsi="Arial" w:cs="Arial"/>
          <w:sz w:val="22"/>
          <w:szCs w:val="22"/>
          <w:lang w:eastAsia="en-US"/>
        </w:rPr>
        <w:t>, or the first layer of management below the Board level, including the Company Secretary.</w:t>
      </w:r>
    </w:p>
    <w:p w14:paraId="0A6522B9" w14:textId="77777777" w:rsidR="00ED4D46" w:rsidRPr="000F509B" w:rsidRDefault="00ED4D46" w:rsidP="00ED4D46">
      <w:pPr>
        <w:spacing w:line="276" w:lineRule="auto"/>
        <w:rPr>
          <w:rFonts w:ascii="Arial" w:hAnsi="Arial" w:cs="Arial"/>
          <w:sz w:val="22"/>
          <w:szCs w:val="22"/>
          <w:lang w:eastAsia="en-US"/>
        </w:rPr>
      </w:pPr>
    </w:p>
    <w:p w14:paraId="64F1BFCA" w14:textId="77777777" w:rsidR="00ED4D46" w:rsidRPr="000F509B" w:rsidRDefault="00ED4D46" w:rsidP="00ED4D46">
      <w:pPr>
        <w:numPr>
          <w:ilvl w:val="0"/>
          <w:numId w:val="14"/>
        </w:numPr>
        <w:tabs>
          <w:tab w:val="left" w:pos="993"/>
        </w:tabs>
        <w:spacing w:line="276" w:lineRule="auto"/>
        <w:rPr>
          <w:rFonts w:ascii="Arial" w:hAnsi="Arial" w:cs="Arial"/>
          <w:sz w:val="22"/>
          <w:szCs w:val="22"/>
          <w:lang w:eastAsia="en-US"/>
        </w:rPr>
      </w:pPr>
      <w:r w:rsidRPr="000F509B">
        <w:rPr>
          <w:rFonts w:ascii="Arial" w:hAnsi="Arial" w:cs="Arial"/>
          <w:b/>
          <w:sz w:val="22"/>
          <w:szCs w:val="22"/>
          <w:lang w:eastAsia="en-US"/>
        </w:rPr>
        <w:t>Constitution</w:t>
      </w:r>
    </w:p>
    <w:p w14:paraId="29578525" w14:textId="77777777" w:rsidR="00ED4D46" w:rsidRPr="000F509B" w:rsidRDefault="00ED4D46" w:rsidP="00ED4D46">
      <w:pPr>
        <w:numPr>
          <w:ilvl w:val="1"/>
          <w:numId w:val="15"/>
        </w:numPr>
        <w:tabs>
          <w:tab w:val="left" w:pos="993"/>
        </w:tabs>
        <w:spacing w:line="276" w:lineRule="auto"/>
        <w:jc w:val="both"/>
        <w:rPr>
          <w:rFonts w:ascii="Arial" w:hAnsi="Arial" w:cs="Arial"/>
          <w:sz w:val="22"/>
          <w:szCs w:val="22"/>
          <w:lang w:eastAsia="en-US"/>
        </w:rPr>
      </w:pPr>
      <w:r w:rsidRPr="000F509B">
        <w:rPr>
          <w:rFonts w:ascii="Arial" w:hAnsi="Arial" w:cs="Arial"/>
          <w:sz w:val="22"/>
          <w:szCs w:val="22"/>
          <w:lang w:eastAsia="en-US"/>
        </w:rPr>
        <w:t xml:space="preserve">The Board hereby resolves to establish a Committee of the Board to be known as the Remuneration Committee. The membership, duties and authorities of the Committee are set out in these Terms of Reference which shall be reviewed </w:t>
      </w:r>
      <w:proofErr w:type="gramStart"/>
      <w:r w:rsidRPr="000F509B">
        <w:rPr>
          <w:rFonts w:ascii="Arial" w:hAnsi="Arial" w:cs="Arial"/>
          <w:sz w:val="22"/>
          <w:szCs w:val="22"/>
          <w:lang w:eastAsia="en-US"/>
        </w:rPr>
        <w:t>annually</w:t>
      </w:r>
      <w:proofErr w:type="gramEnd"/>
      <w:r w:rsidRPr="000F509B">
        <w:rPr>
          <w:rFonts w:ascii="Arial" w:hAnsi="Arial" w:cs="Arial"/>
          <w:sz w:val="22"/>
          <w:szCs w:val="22"/>
          <w:lang w:eastAsia="en-US"/>
        </w:rPr>
        <w:t xml:space="preserve"> and which can be amended from time to time by the Board. These Terms of Reference shall be publicly available.</w:t>
      </w:r>
    </w:p>
    <w:p w14:paraId="1D9BB156" w14:textId="77777777" w:rsidR="00ED4D46" w:rsidRPr="000F509B" w:rsidRDefault="00ED4D46" w:rsidP="00ED4D46">
      <w:pPr>
        <w:tabs>
          <w:tab w:val="left" w:pos="993"/>
        </w:tabs>
        <w:spacing w:line="276" w:lineRule="auto"/>
        <w:rPr>
          <w:rFonts w:ascii="Arial" w:hAnsi="Arial" w:cs="Arial"/>
          <w:sz w:val="22"/>
          <w:szCs w:val="22"/>
          <w:lang w:eastAsia="en-US"/>
        </w:rPr>
      </w:pPr>
    </w:p>
    <w:p w14:paraId="78EF025C" w14:textId="77777777" w:rsidR="00ED4D46" w:rsidRPr="000F509B" w:rsidRDefault="00ED4D46" w:rsidP="00ED4D46">
      <w:pPr>
        <w:numPr>
          <w:ilvl w:val="0"/>
          <w:numId w:val="15"/>
        </w:numPr>
        <w:tabs>
          <w:tab w:val="left" w:pos="993"/>
        </w:tabs>
        <w:spacing w:line="276" w:lineRule="auto"/>
        <w:rPr>
          <w:rFonts w:ascii="Arial" w:hAnsi="Arial" w:cs="Arial"/>
          <w:sz w:val="22"/>
          <w:szCs w:val="22"/>
          <w:lang w:eastAsia="en-US"/>
        </w:rPr>
      </w:pPr>
      <w:r w:rsidRPr="000F509B">
        <w:rPr>
          <w:rFonts w:ascii="Arial" w:hAnsi="Arial" w:cs="Arial"/>
          <w:b/>
          <w:sz w:val="22"/>
          <w:szCs w:val="22"/>
          <w:lang w:eastAsia="en-US"/>
        </w:rPr>
        <w:t>Membership</w:t>
      </w:r>
    </w:p>
    <w:p w14:paraId="043A86A0" w14:textId="3E32829A"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The Committee shall comprise at least three members, each of whom shall be appointed by the Board on the recommendation of the Nominations Committee and in consultation with the Chair</w:t>
      </w:r>
      <w:r w:rsidR="00F51279" w:rsidRPr="00F51279">
        <w:rPr>
          <w:rFonts w:ascii="Arial" w:hAnsi="Arial" w:cs="Arial"/>
          <w:sz w:val="22"/>
          <w:szCs w:val="22"/>
          <w:lang w:eastAsia="en-US"/>
        </w:rPr>
        <w:t xml:space="preserve"> </w:t>
      </w:r>
      <w:r w:rsidR="00F51279">
        <w:rPr>
          <w:rFonts w:ascii="Arial" w:hAnsi="Arial" w:cs="Arial"/>
          <w:sz w:val="22"/>
          <w:szCs w:val="22"/>
          <w:lang w:eastAsia="en-US"/>
        </w:rPr>
        <w:t xml:space="preserve">of the </w:t>
      </w:r>
      <w:r w:rsidR="00F51279" w:rsidRPr="000F509B">
        <w:rPr>
          <w:rFonts w:ascii="Arial" w:hAnsi="Arial" w:cs="Arial"/>
          <w:sz w:val="22"/>
          <w:szCs w:val="22"/>
          <w:lang w:eastAsia="en-US"/>
        </w:rPr>
        <w:t>Committee</w:t>
      </w:r>
      <w:r w:rsidRPr="000F509B">
        <w:rPr>
          <w:rFonts w:ascii="Arial" w:hAnsi="Arial" w:cs="Arial"/>
          <w:sz w:val="22"/>
          <w:szCs w:val="22"/>
          <w:lang w:eastAsia="en-US"/>
        </w:rPr>
        <w:t>.</w:t>
      </w:r>
    </w:p>
    <w:p w14:paraId="544B5DB3" w14:textId="5554339C"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At least three of the members of the Committee shall be independent non-executive directors. The Chair of the Board may also serve on the Committee as an additional member if he or she was considered independent on appointment as Chair</w:t>
      </w:r>
      <w:r w:rsidR="00BF0345">
        <w:rPr>
          <w:rFonts w:ascii="Arial" w:hAnsi="Arial" w:cs="Arial"/>
          <w:sz w:val="22"/>
          <w:szCs w:val="22"/>
          <w:lang w:eastAsia="en-US"/>
        </w:rPr>
        <w:t xml:space="preserve"> of the Board</w:t>
      </w:r>
      <w:r w:rsidRPr="000F509B">
        <w:rPr>
          <w:rFonts w:ascii="Arial" w:hAnsi="Arial" w:cs="Arial"/>
          <w:sz w:val="22"/>
          <w:szCs w:val="22"/>
          <w:lang w:eastAsia="en-US"/>
        </w:rPr>
        <w:t>. The Chair</w:t>
      </w:r>
      <w:r w:rsidR="00BF0345">
        <w:rPr>
          <w:rFonts w:ascii="Arial" w:hAnsi="Arial" w:cs="Arial"/>
          <w:sz w:val="22"/>
          <w:szCs w:val="22"/>
          <w:lang w:eastAsia="en-US"/>
        </w:rPr>
        <w:t xml:space="preserve"> of the Board </w:t>
      </w:r>
      <w:r w:rsidRPr="000F509B">
        <w:rPr>
          <w:rFonts w:ascii="Arial" w:hAnsi="Arial" w:cs="Arial"/>
          <w:sz w:val="22"/>
          <w:szCs w:val="22"/>
          <w:lang w:eastAsia="en-US"/>
        </w:rPr>
        <w:t xml:space="preserve">shall not participate in any part of a meeting dealing with </w:t>
      </w:r>
      <w:r w:rsidR="00F51279">
        <w:rPr>
          <w:rFonts w:ascii="Arial" w:hAnsi="Arial" w:cs="Arial"/>
          <w:sz w:val="22"/>
          <w:szCs w:val="22"/>
          <w:lang w:eastAsia="en-US"/>
        </w:rPr>
        <w:t>their</w:t>
      </w:r>
      <w:r w:rsidRPr="000F509B">
        <w:rPr>
          <w:rFonts w:ascii="Arial" w:hAnsi="Arial" w:cs="Arial"/>
          <w:sz w:val="22"/>
          <w:szCs w:val="22"/>
          <w:lang w:eastAsia="en-US"/>
        </w:rPr>
        <w:t xml:space="preserve"> own remuneration.</w:t>
      </w:r>
    </w:p>
    <w:p w14:paraId="6A5670FE" w14:textId="77777777"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Appointments to the Committee shall be for a period of up to three years, which may be extended for two further three-year periods, provided the director still meets the criteria for membership of the Committee.</w:t>
      </w:r>
    </w:p>
    <w:p w14:paraId="1139BFBB" w14:textId="727E15C1"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The Board shall appoint the Chair of the Committee who shall be an independent non-executive director</w:t>
      </w:r>
      <w:r w:rsidR="00C61841">
        <w:rPr>
          <w:rFonts w:ascii="Arial" w:hAnsi="Arial" w:cs="Arial"/>
          <w:sz w:val="22"/>
          <w:szCs w:val="22"/>
          <w:lang w:eastAsia="en-US"/>
        </w:rPr>
        <w:t xml:space="preserve"> </w:t>
      </w:r>
      <w:r w:rsidR="005B1245">
        <w:rPr>
          <w:rFonts w:ascii="Arial" w:hAnsi="Arial" w:cs="Arial"/>
          <w:sz w:val="22"/>
          <w:szCs w:val="22"/>
          <w:lang w:eastAsia="en-US"/>
        </w:rPr>
        <w:t xml:space="preserve">who should have served on a remuneration committee </w:t>
      </w:r>
      <w:r w:rsidR="002730C7">
        <w:rPr>
          <w:rFonts w:ascii="Arial" w:hAnsi="Arial" w:cs="Arial"/>
          <w:sz w:val="22"/>
          <w:szCs w:val="22"/>
          <w:lang w:eastAsia="en-US"/>
        </w:rPr>
        <w:t>for at least twelve months</w:t>
      </w:r>
      <w:r w:rsidR="00C61841">
        <w:rPr>
          <w:rFonts w:ascii="Arial" w:hAnsi="Arial" w:cs="Arial"/>
          <w:sz w:val="22"/>
          <w:szCs w:val="22"/>
          <w:lang w:eastAsia="en-US"/>
        </w:rPr>
        <w:t>. The Board shall</w:t>
      </w:r>
      <w:r w:rsidRPr="000F509B">
        <w:rPr>
          <w:rFonts w:ascii="Arial" w:hAnsi="Arial" w:cs="Arial"/>
          <w:sz w:val="22"/>
          <w:szCs w:val="22"/>
          <w:lang w:eastAsia="en-US"/>
        </w:rPr>
        <w:t xml:space="preserve"> determine the period for which the</w:t>
      </w:r>
      <w:r w:rsidR="00C61841">
        <w:rPr>
          <w:rFonts w:ascii="Arial" w:hAnsi="Arial" w:cs="Arial"/>
          <w:sz w:val="22"/>
          <w:szCs w:val="22"/>
          <w:lang w:eastAsia="en-US"/>
        </w:rPr>
        <w:t xml:space="preserve"> Chair of the Committee </w:t>
      </w:r>
      <w:r w:rsidRPr="000F509B">
        <w:rPr>
          <w:rFonts w:ascii="Arial" w:hAnsi="Arial" w:cs="Arial"/>
          <w:sz w:val="22"/>
          <w:szCs w:val="22"/>
          <w:lang w:eastAsia="en-US"/>
        </w:rPr>
        <w:t>shall hold office. In the absence of the Chair</w:t>
      </w:r>
      <w:r w:rsidR="00BF0345">
        <w:rPr>
          <w:rFonts w:ascii="Arial" w:hAnsi="Arial" w:cs="Arial"/>
          <w:sz w:val="22"/>
          <w:szCs w:val="22"/>
          <w:lang w:eastAsia="en-US"/>
        </w:rPr>
        <w:t xml:space="preserve"> of the Committee</w:t>
      </w:r>
      <w:r w:rsidRPr="000F509B">
        <w:rPr>
          <w:rFonts w:ascii="Arial" w:hAnsi="Arial" w:cs="Arial"/>
          <w:sz w:val="22"/>
          <w:szCs w:val="22"/>
          <w:lang w:eastAsia="en-US"/>
        </w:rPr>
        <w:t xml:space="preserve"> or any appointed deputy, the remaining members present shall elect one of their number to chair the meeting. The Chair of the Board shall not be Chair of the Committee.</w:t>
      </w:r>
    </w:p>
    <w:p w14:paraId="6F7D1B48" w14:textId="77777777" w:rsidR="00ED4D46" w:rsidRPr="000F509B" w:rsidRDefault="00ED4D46" w:rsidP="00ED4D46">
      <w:pPr>
        <w:numPr>
          <w:ilvl w:val="1"/>
          <w:numId w:val="15"/>
        </w:numPr>
        <w:tabs>
          <w:tab w:val="left" w:pos="993"/>
        </w:tabs>
        <w:spacing w:after="120"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The Board shall have the power at any time to remove any members from the Committee and to fill any vacancies.</w:t>
      </w:r>
    </w:p>
    <w:p w14:paraId="2D8C9BC2" w14:textId="77777777" w:rsidR="00ED4D46" w:rsidRPr="000F509B" w:rsidRDefault="00ED4D46" w:rsidP="00ED4D46">
      <w:pPr>
        <w:tabs>
          <w:tab w:val="left" w:pos="993"/>
        </w:tabs>
        <w:spacing w:line="276" w:lineRule="auto"/>
        <w:jc w:val="both"/>
        <w:rPr>
          <w:rFonts w:ascii="Arial" w:hAnsi="Arial" w:cs="Arial"/>
          <w:sz w:val="22"/>
          <w:szCs w:val="22"/>
          <w:lang w:eastAsia="en-US"/>
        </w:rPr>
      </w:pPr>
    </w:p>
    <w:p w14:paraId="06402C09" w14:textId="77777777" w:rsidR="00ED4D46" w:rsidRPr="000F509B" w:rsidRDefault="00ED4D46" w:rsidP="00ED4D46">
      <w:pPr>
        <w:numPr>
          <w:ilvl w:val="0"/>
          <w:numId w:val="15"/>
        </w:numPr>
        <w:tabs>
          <w:tab w:val="left" w:pos="993"/>
        </w:tabs>
        <w:spacing w:line="276" w:lineRule="auto"/>
        <w:jc w:val="both"/>
        <w:rPr>
          <w:rFonts w:ascii="Arial" w:hAnsi="Arial" w:cs="Arial"/>
          <w:sz w:val="22"/>
          <w:szCs w:val="22"/>
          <w:lang w:eastAsia="en-US"/>
        </w:rPr>
      </w:pPr>
      <w:r w:rsidRPr="000F509B">
        <w:rPr>
          <w:rFonts w:ascii="Arial" w:hAnsi="Arial" w:cs="Arial"/>
          <w:b/>
          <w:sz w:val="22"/>
          <w:szCs w:val="22"/>
          <w:lang w:eastAsia="en-US"/>
        </w:rPr>
        <w:t>Secretary</w:t>
      </w:r>
    </w:p>
    <w:p w14:paraId="66E5FE7A" w14:textId="09A51334" w:rsidR="00ED4D46" w:rsidRPr="000F509B" w:rsidRDefault="00ED4D46" w:rsidP="00ED4D46">
      <w:pPr>
        <w:numPr>
          <w:ilvl w:val="1"/>
          <w:numId w:val="15"/>
        </w:numPr>
        <w:tabs>
          <w:tab w:val="left" w:pos="993"/>
        </w:tabs>
        <w:spacing w:after="120"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 xml:space="preserve">The Company Secretary, or </w:t>
      </w:r>
      <w:r w:rsidR="00BF0345">
        <w:rPr>
          <w:rFonts w:ascii="Arial" w:hAnsi="Arial" w:cs="Arial"/>
          <w:sz w:val="22"/>
          <w:szCs w:val="22"/>
          <w:lang w:eastAsia="en-US"/>
        </w:rPr>
        <w:t>their</w:t>
      </w:r>
      <w:r w:rsidRPr="000F509B">
        <w:rPr>
          <w:rFonts w:ascii="Arial" w:hAnsi="Arial" w:cs="Arial"/>
          <w:sz w:val="22"/>
          <w:szCs w:val="22"/>
          <w:lang w:eastAsia="en-US"/>
        </w:rPr>
        <w:t xml:space="preserve"> nominee, shall act as the Secretary of the Committee.</w:t>
      </w:r>
    </w:p>
    <w:p w14:paraId="20608AC7" w14:textId="77777777" w:rsidR="00ED4D46" w:rsidRPr="000F509B" w:rsidRDefault="00ED4D46" w:rsidP="00ED4D46">
      <w:pPr>
        <w:tabs>
          <w:tab w:val="left" w:pos="993"/>
        </w:tabs>
        <w:spacing w:line="276" w:lineRule="auto"/>
        <w:ind w:left="360"/>
        <w:jc w:val="both"/>
        <w:rPr>
          <w:rFonts w:ascii="Arial" w:hAnsi="Arial" w:cs="Arial"/>
          <w:sz w:val="22"/>
          <w:szCs w:val="22"/>
          <w:lang w:eastAsia="en-US"/>
        </w:rPr>
      </w:pPr>
    </w:p>
    <w:p w14:paraId="32B8C2D2" w14:textId="77777777" w:rsidR="00ED4D46" w:rsidRPr="000F509B" w:rsidRDefault="00ED4D46" w:rsidP="00ED4D46">
      <w:pPr>
        <w:numPr>
          <w:ilvl w:val="0"/>
          <w:numId w:val="15"/>
        </w:numPr>
        <w:tabs>
          <w:tab w:val="left" w:pos="993"/>
        </w:tabs>
        <w:spacing w:line="276" w:lineRule="auto"/>
        <w:jc w:val="both"/>
        <w:rPr>
          <w:rFonts w:ascii="Arial" w:hAnsi="Arial" w:cs="Arial"/>
          <w:sz w:val="22"/>
          <w:szCs w:val="22"/>
          <w:lang w:eastAsia="en-US"/>
        </w:rPr>
      </w:pPr>
      <w:r w:rsidRPr="000F509B">
        <w:rPr>
          <w:rFonts w:ascii="Arial" w:hAnsi="Arial" w:cs="Arial"/>
          <w:b/>
          <w:sz w:val="22"/>
          <w:szCs w:val="22"/>
          <w:lang w:eastAsia="en-US"/>
        </w:rPr>
        <w:t>Attendance at meetings</w:t>
      </w:r>
    </w:p>
    <w:p w14:paraId="7516B38C" w14:textId="77777777" w:rsidR="00ED4D46" w:rsidRPr="000F509B" w:rsidRDefault="00ED4D46" w:rsidP="00ED4D46">
      <w:pPr>
        <w:numPr>
          <w:ilvl w:val="1"/>
          <w:numId w:val="15"/>
        </w:numPr>
        <w:tabs>
          <w:tab w:val="left" w:pos="993"/>
        </w:tabs>
        <w:spacing w:after="120" w:line="276" w:lineRule="auto"/>
        <w:ind w:left="788" w:hanging="431"/>
        <w:jc w:val="both"/>
        <w:rPr>
          <w:rFonts w:ascii="Arial" w:hAnsi="Arial" w:cs="Arial"/>
          <w:sz w:val="22"/>
          <w:szCs w:val="22"/>
          <w:lang w:eastAsia="en-US"/>
        </w:rPr>
      </w:pPr>
      <w:r w:rsidRPr="000F509B">
        <w:rPr>
          <w:rFonts w:ascii="Arial" w:hAnsi="Arial" w:cs="Arial"/>
          <w:sz w:val="22"/>
          <w:szCs w:val="22"/>
          <w:lang w:eastAsia="en-US"/>
        </w:rPr>
        <w:lastRenderedPageBreak/>
        <w:t>The quorum necessary for the transaction of business by the Committee shall be two members present in person, by telephone or video conference call throughout the meeting.</w:t>
      </w:r>
    </w:p>
    <w:p w14:paraId="02F30A15" w14:textId="77777777"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A duly convened meeting of the Committee at which a quorum is present shall be competent to exercise all or any of the authorities, powers and discretions vested or exercisable by the Committee.</w:t>
      </w:r>
    </w:p>
    <w:p w14:paraId="40D683CC" w14:textId="62F1E72E"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 xml:space="preserve">Only members of the Committee have the right to attend and vote at Committee meetings, however, the Chair of the </w:t>
      </w:r>
      <w:r w:rsidR="00BF0345">
        <w:rPr>
          <w:rFonts w:ascii="Arial" w:hAnsi="Arial" w:cs="Arial"/>
          <w:sz w:val="22"/>
          <w:szCs w:val="22"/>
          <w:lang w:eastAsia="en-US"/>
        </w:rPr>
        <w:t>Board</w:t>
      </w:r>
      <w:r w:rsidRPr="000F509B">
        <w:rPr>
          <w:rFonts w:ascii="Arial" w:hAnsi="Arial" w:cs="Arial"/>
          <w:sz w:val="22"/>
          <w:szCs w:val="22"/>
          <w:lang w:eastAsia="en-US"/>
        </w:rPr>
        <w:t xml:space="preserve"> (where not a member of the Committee), the Group Chief Executive, the Group</w:t>
      </w:r>
      <w:r w:rsidR="00BF0345">
        <w:rPr>
          <w:rFonts w:ascii="Arial" w:hAnsi="Arial" w:cs="Arial"/>
          <w:sz w:val="22"/>
          <w:szCs w:val="22"/>
          <w:lang w:eastAsia="en-US"/>
        </w:rPr>
        <w:t xml:space="preserve"> Chief</w:t>
      </w:r>
      <w:r w:rsidRPr="000F509B">
        <w:rPr>
          <w:rFonts w:ascii="Arial" w:hAnsi="Arial" w:cs="Arial"/>
          <w:sz w:val="22"/>
          <w:szCs w:val="22"/>
          <w:lang w:eastAsia="en-US"/>
        </w:rPr>
        <w:t xml:space="preserve"> Financ</w:t>
      </w:r>
      <w:r w:rsidR="00BF0345">
        <w:rPr>
          <w:rFonts w:ascii="Arial" w:hAnsi="Arial" w:cs="Arial"/>
          <w:sz w:val="22"/>
          <w:szCs w:val="22"/>
          <w:lang w:eastAsia="en-US"/>
        </w:rPr>
        <w:t>ial Officer</w:t>
      </w:r>
      <w:r w:rsidRPr="000F509B">
        <w:rPr>
          <w:rFonts w:ascii="Arial" w:hAnsi="Arial" w:cs="Arial"/>
          <w:sz w:val="22"/>
          <w:szCs w:val="22"/>
          <w:lang w:eastAsia="en-US"/>
        </w:rPr>
        <w:t>, the Group HR Director and others (for example external advisers) may be invited to attend and speak for all or part of a meeting by prior arrangement with the Chair of the Committee.</w:t>
      </w:r>
    </w:p>
    <w:p w14:paraId="008AFD7C" w14:textId="77777777" w:rsidR="00ED4D46" w:rsidRPr="000F509B" w:rsidRDefault="00ED4D46" w:rsidP="00ED4D46">
      <w:pPr>
        <w:numPr>
          <w:ilvl w:val="1"/>
          <w:numId w:val="15"/>
        </w:numPr>
        <w:tabs>
          <w:tab w:val="left" w:pos="993"/>
        </w:tabs>
        <w:spacing w:line="276" w:lineRule="auto"/>
        <w:jc w:val="both"/>
        <w:rPr>
          <w:rFonts w:ascii="Arial" w:hAnsi="Arial" w:cs="Arial"/>
          <w:sz w:val="22"/>
          <w:szCs w:val="22"/>
          <w:lang w:eastAsia="en-US"/>
        </w:rPr>
      </w:pPr>
      <w:r w:rsidRPr="000F509B">
        <w:rPr>
          <w:rFonts w:ascii="Arial" w:hAnsi="Arial" w:cs="Arial"/>
          <w:sz w:val="22"/>
          <w:szCs w:val="22"/>
          <w:lang w:eastAsia="en-US"/>
        </w:rPr>
        <w:t>No Committee attendee shall participate in any discussion or decision on their own remuneration.</w:t>
      </w:r>
    </w:p>
    <w:p w14:paraId="6F2B3664" w14:textId="77777777" w:rsidR="00ED4D46" w:rsidRPr="000F509B" w:rsidRDefault="00ED4D46" w:rsidP="00ED4D46">
      <w:pPr>
        <w:tabs>
          <w:tab w:val="left" w:pos="993"/>
        </w:tabs>
        <w:spacing w:line="276" w:lineRule="auto"/>
        <w:jc w:val="both"/>
        <w:rPr>
          <w:rFonts w:ascii="Arial" w:hAnsi="Arial" w:cs="Arial"/>
          <w:sz w:val="22"/>
          <w:szCs w:val="22"/>
          <w:lang w:eastAsia="en-US"/>
        </w:rPr>
      </w:pPr>
    </w:p>
    <w:p w14:paraId="67D28AF2" w14:textId="77777777" w:rsidR="00ED4D46" w:rsidRPr="000F509B" w:rsidRDefault="00ED4D46" w:rsidP="00ED4D46">
      <w:pPr>
        <w:numPr>
          <w:ilvl w:val="0"/>
          <w:numId w:val="15"/>
        </w:numPr>
        <w:tabs>
          <w:tab w:val="left" w:pos="993"/>
        </w:tabs>
        <w:spacing w:line="276" w:lineRule="auto"/>
        <w:jc w:val="both"/>
        <w:rPr>
          <w:rFonts w:ascii="Arial" w:hAnsi="Arial" w:cs="Arial"/>
          <w:sz w:val="22"/>
          <w:szCs w:val="22"/>
          <w:lang w:eastAsia="en-US"/>
        </w:rPr>
      </w:pPr>
      <w:r w:rsidRPr="000F509B">
        <w:rPr>
          <w:rFonts w:ascii="Arial" w:hAnsi="Arial" w:cs="Arial"/>
          <w:b/>
          <w:sz w:val="22"/>
          <w:szCs w:val="22"/>
          <w:lang w:eastAsia="en-US"/>
        </w:rPr>
        <w:t>Frequency of meetings</w:t>
      </w:r>
    </w:p>
    <w:p w14:paraId="13294B98" w14:textId="753EBDDA"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The Committee shall meet at such times as the Chair of the Committee shall require and at least twice a year.</w:t>
      </w:r>
    </w:p>
    <w:p w14:paraId="3245CC5A" w14:textId="77777777" w:rsidR="00ED4D46" w:rsidRPr="000F509B" w:rsidRDefault="00ED4D46" w:rsidP="00ED4D46">
      <w:pPr>
        <w:numPr>
          <w:ilvl w:val="1"/>
          <w:numId w:val="15"/>
        </w:numPr>
        <w:tabs>
          <w:tab w:val="left" w:pos="993"/>
        </w:tabs>
        <w:spacing w:line="276" w:lineRule="auto"/>
        <w:jc w:val="both"/>
        <w:rPr>
          <w:rFonts w:ascii="Arial" w:hAnsi="Arial" w:cs="Arial"/>
          <w:sz w:val="22"/>
          <w:szCs w:val="22"/>
          <w:lang w:eastAsia="en-US"/>
        </w:rPr>
      </w:pPr>
      <w:r w:rsidRPr="000F509B">
        <w:rPr>
          <w:rFonts w:ascii="Arial" w:hAnsi="Arial" w:cs="Arial"/>
          <w:sz w:val="22"/>
          <w:szCs w:val="22"/>
          <w:lang w:eastAsia="en-US"/>
        </w:rPr>
        <w:t>Notice of each meeting of the Committee, confirming the venue, time and date, and enclosing an agenda of items to be discussed shall be forwarded to each member of the Committee, any other person required to attend and any other non-executive directors, not fewer than five working days prior to the date of the meeting wherever possible. Supporting papers shall be sent to Committee members and to other attendees (as appropriate) at the same time.</w:t>
      </w:r>
    </w:p>
    <w:p w14:paraId="3ABD7322" w14:textId="281EF272" w:rsidR="00ED4D46" w:rsidRPr="000F509B" w:rsidRDefault="00ED4D46" w:rsidP="00ED4D46">
      <w:pPr>
        <w:numPr>
          <w:ilvl w:val="1"/>
          <w:numId w:val="15"/>
        </w:numPr>
        <w:tabs>
          <w:tab w:val="left" w:pos="993"/>
        </w:tabs>
        <w:spacing w:line="276" w:lineRule="auto"/>
        <w:jc w:val="both"/>
        <w:rPr>
          <w:rFonts w:ascii="Arial" w:hAnsi="Arial" w:cs="Arial"/>
          <w:sz w:val="22"/>
          <w:szCs w:val="22"/>
          <w:lang w:eastAsia="en-US"/>
        </w:rPr>
      </w:pPr>
      <w:r w:rsidRPr="000F509B">
        <w:rPr>
          <w:rFonts w:ascii="Arial" w:hAnsi="Arial" w:cs="Arial"/>
          <w:sz w:val="22"/>
          <w:szCs w:val="22"/>
          <w:lang w:eastAsia="en-US"/>
        </w:rPr>
        <w:t xml:space="preserve">Where a decision is required between scheduled meetings of the Committee, a decision can be taken in one of the following ways: by the Chair </w:t>
      </w:r>
      <w:r w:rsidR="00F51279">
        <w:rPr>
          <w:rFonts w:ascii="Arial" w:hAnsi="Arial" w:cs="Arial"/>
          <w:sz w:val="22"/>
          <w:szCs w:val="22"/>
          <w:lang w:eastAsia="en-US"/>
        </w:rPr>
        <w:t xml:space="preserve">of the </w:t>
      </w:r>
      <w:r w:rsidR="00F51279" w:rsidRPr="000F509B">
        <w:rPr>
          <w:rFonts w:ascii="Arial" w:hAnsi="Arial" w:cs="Arial"/>
          <w:sz w:val="22"/>
          <w:szCs w:val="22"/>
          <w:lang w:eastAsia="en-US"/>
        </w:rPr>
        <w:t xml:space="preserve">Committee </w:t>
      </w:r>
      <w:r w:rsidRPr="000F509B">
        <w:rPr>
          <w:rFonts w:ascii="Arial" w:hAnsi="Arial" w:cs="Arial"/>
          <w:sz w:val="22"/>
          <w:szCs w:val="22"/>
          <w:lang w:eastAsia="en-US"/>
        </w:rPr>
        <w:t xml:space="preserve">if </w:t>
      </w:r>
      <w:r w:rsidR="00BF0345">
        <w:rPr>
          <w:rFonts w:ascii="Arial" w:hAnsi="Arial" w:cs="Arial"/>
          <w:sz w:val="22"/>
          <w:szCs w:val="22"/>
          <w:lang w:eastAsia="en-US"/>
        </w:rPr>
        <w:t>they</w:t>
      </w:r>
      <w:r w:rsidRPr="000F509B">
        <w:rPr>
          <w:rFonts w:ascii="Arial" w:hAnsi="Arial" w:cs="Arial"/>
          <w:sz w:val="22"/>
          <w:szCs w:val="22"/>
          <w:lang w:eastAsia="en-US"/>
        </w:rPr>
        <w:t xml:space="preserve"> in </w:t>
      </w:r>
      <w:r w:rsidR="00BF0345">
        <w:rPr>
          <w:rFonts w:ascii="Arial" w:hAnsi="Arial" w:cs="Arial"/>
          <w:sz w:val="22"/>
          <w:szCs w:val="22"/>
          <w:lang w:eastAsia="en-US"/>
        </w:rPr>
        <w:t>their</w:t>
      </w:r>
      <w:r w:rsidRPr="000F509B">
        <w:rPr>
          <w:rFonts w:ascii="Arial" w:hAnsi="Arial" w:cs="Arial"/>
          <w:sz w:val="22"/>
          <w:szCs w:val="22"/>
          <w:lang w:eastAsia="en-US"/>
        </w:rPr>
        <w:t xml:space="preserve"> discretion feels that there are no significant issues requiring approval of the full Committee; by convening a meeting of the Committee to be held in person or by telephone conference or by emailing all Committee members for their unanimous confirmation of approval and in such cases the Urgent Issues Procedure of the Company’s Board shall apply, mutatis mutandis.</w:t>
      </w:r>
    </w:p>
    <w:p w14:paraId="10F6C269" w14:textId="77777777" w:rsidR="00ED4D46" w:rsidRPr="000F509B" w:rsidRDefault="00ED4D46" w:rsidP="00ED4D46">
      <w:pPr>
        <w:tabs>
          <w:tab w:val="left" w:pos="993"/>
        </w:tabs>
        <w:spacing w:line="276" w:lineRule="auto"/>
        <w:ind w:left="792"/>
        <w:jc w:val="both"/>
        <w:rPr>
          <w:rFonts w:ascii="Arial" w:hAnsi="Arial" w:cs="Arial"/>
          <w:sz w:val="22"/>
          <w:szCs w:val="22"/>
          <w:lang w:eastAsia="en-US"/>
        </w:rPr>
      </w:pPr>
    </w:p>
    <w:p w14:paraId="658CEE90" w14:textId="77777777" w:rsidR="00ED4D46" w:rsidRPr="000F509B" w:rsidRDefault="00ED4D46" w:rsidP="00ED4D46">
      <w:pPr>
        <w:numPr>
          <w:ilvl w:val="0"/>
          <w:numId w:val="15"/>
        </w:numPr>
        <w:tabs>
          <w:tab w:val="left" w:pos="993"/>
        </w:tabs>
        <w:spacing w:line="276" w:lineRule="auto"/>
        <w:jc w:val="both"/>
        <w:rPr>
          <w:rFonts w:ascii="Arial" w:hAnsi="Arial" w:cs="Arial"/>
          <w:sz w:val="22"/>
          <w:szCs w:val="22"/>
          <w:lang w:eastAsia="en-US"/>
        </w:rPr>
      </w:pPr>
      <w:r w:rsidRPr="000F509B">
        <w:rPr>
          <w:rFonts w:ascii="Arial" w:hAnsi="Arial" w:cs="Arial"/>
          <w:b/>
          <w:sz w:val="22"/>
          <w:szCs w:val="24"/>
          <w:lang w:eastAsia="en-US"/>
        </w:rPr>
        <w:t>Minutes of meetings</w:t>
      </w:r>
    </w:p>
    <w:p w14:paraId="6AA901E5" w14:textId="711ADE30" w:rsidR="00ED4D46" w:rsidRPr="000F509B" w:rsidRDefault="00ED4D46" w:rsidP="00ED4D46">
      <w:pPr>
        <w:numPr>
          <w:ilvl w:val="1"/>
          <w:numId w:val="15"/>
        </w:numPr>
        <w:tabs>
          <w:tab w:val="left" w:pos="993"/>
        </w:tabs>
        <w:spacing w:line="276" w:lineRule="auto"/>
        <w:jc w:val="both"/>
        <w:rPr>
          <w:rFonts w:ascii="Arial" w:hAnsi="Arial" w:cs="Arial"/>
          <w:sz w:val="22"/>
          <w:szCs w:val="22"/>
          <w:lang w:eastAsia="en-US"/>
        </w:rPr>
      </w:pPr>
      <w:r w:rsidRPr="000F509B">
        <w:rPr>
          <w:rFonts w:ascii="Arial" w:hAnsi="Arial" w:cs="Arial"/>
          <w:sz w:val="22"/>
          <w:szCs w:val="24"/>
          <w:lang w:eastAsia="en-US"/>
        </w:rPr>
        <w:t>Minutes of any formal meeting of the Committee shall be prepared by the Company Secretary</w:t>
      </w:r>
      <w:r>
        <w:rPr>
          <w:rFonts w:ascii="Arial" w:hAnsi="Arial" w:cs="Arial"/>
          <w:sz w:val="22"/>
          <w:szCs w:val="24"/>
          <w:lang w:eastAsia="en-US"/>
        </w:rPr>
        <w:t>,</w:t>
      </w:r>
      <w:r w:rsidRPr="000F509B">
        <w:rPr>
          <w:rFonts w:ascii="Arial" w:hAnsi="Arial" w:cs="Arial"/>
          <w:sz w:val="22"/>
          <w:szCs w:val="24"/>
          <w:lang w:eastAsia="en-US"/>
        </w:rPr>
        <w:t xml:space="preserve"> or </w:t>
      </w:r>
      <w:r w:rsidR="00BF0345">
        <w:rPr>
          <w:rFonts w:ascii="Arial" w:hAnsi="Arial" w:cs="Arial"/>
          <w:sz w:val="22"/>
          <w:szCs w:val="24"/>
          <w:lang w:eastAsia="en-US"/>
        </w:rPr>
        <w:t>their</w:t>
      </w:r>
      <w:r w:rsidRPr="000F509B">
        <w:rPr>
          <w:rFonts w:ascii="Arial" w:hAnsi="Arial" w:cs="Arial"/>
          <w:sz w:val="22"/>
          <w:szCs w:val="24"/>
          <w:lang w:eastAsia="en-US"/>
        </w:rPr>
        <w:t xml:space="preserve"> nominee, and circulated to all Committee members and, after approval, shall be submitted to the Board unless in the opinion of the Chair </w:t>
      </w:r>
      <w:r w:rsidR="00F51279">
        <w:rPr>
          <w:rFonts w:ascii="Arial" w:hAnsi="Arial" w:cs="Arial"/>
          <w:sz w:val="22"/>
          <w:szCs w:val="24"/>
          <w:lang w:eastAsia="en-US"/>
        </w:rPr>
        <w:t xml:space="preserve">of the </w:t>
      </w:r>
      <w:r w:rsidR="00F51279" w:rsidRPr="000F509B">
        <w:rPr>
          <w:rFonts w:ascii="Arial" w:hAnsi="Arial" w:cs="Arial"/>
          <w:sz w:val="22"/>
          <w:szCs w:val="24"/>
          <w:lang w:eastAsia="en-US"/>
        </w:rPr>
        <w:t xml:space="preserve">Committee </w:t>
      </w:r>
      <w:r w:rsidRPr="000F509B">
        <w:rPr>
          <w:rFonts w:ascii="Arial" w:hAnsi="Arial" w:cs="Arial"/>
          <w:sz w:val="22"/>
          <w:szCs w:val="24"/>
          <w:lang w:eastAsia="en-US"/>
        </w:rPr>
        <w:t>it would be inappropriate to do so.</w:t>
      </w:r>
    </w:p>
    <w:p w14:paraId="70BAAA7F" w14:textId="77777777" w:rsidR="00ED4D46" w:rsidRPr="000F509B" w:rsidRDefault="00ED4D46" w:rsidP="00ED4D46">
      <w:pPr>
        <w:tabs>
          <w:tab w:val="left" w:pos="993"/>
        </w:tabs>
        <w:spacing w:line="276" w:lineRule="auto"/>
        <w:jc w:val="both"/>
        <w:rPr>
          <w:rFonts w:ascii="Arial" w:hAnsi="Arial" w:cs="Arial"/>
          <w:sz w:val="22"/>
          <w:szCs w:val="22"/>
          <w:lang w:eastAsia="en-US"/>
        </w:rPr>
      </w:pPr>
    </w:p>
    <w:p w14:paraId="442BB117" w14:textId="77777777" w:rsidR="00ED4D46" w:rsidRPr="000F509B" w:rsidRDefault="00ED4D46" w:rsidP="00ED4D46">
      <w:pPr>
        <w:numPr>
          <w:ilvl w:val="0"/>
          <w:numId w:val="15"/>
        </w:numPr>
        <w:tabs>
          <w:tab w:val="left" w:pos="993"/>
        </w:tabs>
        <w:spacing w:line="276" w:lineRule="auto"/>
        <w:jc w:val="both"/>
        <w:rPr>
          <w:rFonts w:ascii="Arial" w:hAnsi="Arial" w:cs="Arial"/>
          <w:sz w:val="22"/>
          <w:szCs w:val="22"/>
          <w:lang w:eastAsia="en-US"/>
        </w:rPr>
      </w:pPr>
      <w:r w:rsidRPr="000F509B">
        <w:rPr>
          <w:rFonts w:ascii="Arial" w:hAnsi="Arial" w:cs="Arial"/>
          <w:b/>
          <w:sz w:val="22"/>
          <w:szCs w:val="22"/>
          <w:lang w:eastAsia="en-US"/>
        </w:rPr>
        <w:t>Duties</w:t>
      </w:r>
    </w:p>
    <w:p w14:paraId="5B358902" w14:textId="77777777" w:rsidR="00ED4D46" w:rsidRPr="000F509B" w:rsidRDefault="00ED4D46" w:rsidP="00ED4D46">
      <w:pPr>
        <w:numPr>
          <w:ilvl w:val="1"/>
          <w:numId w:val="15"/>
        </w:numPr>
        <w:tabs>
          <w:tab w:val="left" w:pos="993"/>
        </w:tabs>
        <w:spacing w:line="276" w:lineRule="auto"/>
        <w:jc w:val="both"/>
        <w:rPr>
          <w:rFonts w:ascii="Arial" w:hAnsi="Arial" w:cs="Arial"/>
          <w:sz w:val="22"/>
          <w:szCs w:val="22"/>
          <w:lang w:eastAsia="en-US"/>
        </w:rPr>
      </w:pPr>
      <w:r w:rsidRPr="000F509B">
        <w:rPr>
          <w:rFonts w:ascii="Arial" w:hAnsi="Arial" w:cs="Arial"/>
          <w:sz w:val="22"/>
          <w:szCs w:val="22"/>
          <w:lang w:eastAsia="en-US"/>
        </w:rPr>
        <w:t>The Committee shall:</w:t>
      </w:r>
    </w:p>
    <w:p w14:paraId="2FD600C6" w14:textId="469D711B" w:rsidR="00ED4D46" w:rsidRPr="000F509B" w:rsidRDefault="00ED4D46" w:rsidP="00ED4D46">
      <w:pPr>
        <w:numPr>
          <w:ilvl w:val="2"/>
          <w:numId w:val="15"/>
        </w:numPr>
        <w:tabs>
          <w:tab w:val="left" w:pos="993"/>
        </w:tabs>
        <w:spacing w:line="276" w:lineRule="auto"/>
        <w:ind w:left="1418" w:hanging="698"/>
        <w:jc w:val="both"/>
        <w:rPr>
          <w:rFonts w:ascii="Arial" w:hAnsi="Arial" w:cs="Arial"/>
          <w:sz w:val="22"/>
          <w:szCs w:val="22"/>
          <w:lang w:eastAsia="en-US"/>
        </w:rPr>
      </w:pPr>
      <w:r>
        <w:rPr>
          <w:rFonts w:ascii="Arial" w:hAnsi="Arial" w:cs="Arial"/>
          <w:sz w:val="22"/>
          <w:szCs w:val="22"/>
          <w:lang w:eastAsia="en-US"/>
        </w:rPr>
        <w:t>Have delegated responsibility for setting remuneration for all executive directors</w:t>
      </w:r>
      <w:r w:rsidR="005C53A0">
        <w:rPr>
          <w:rFonts w:ascii="Arial" w:hAnsi="Arial" w:cs="Arial"/>
          <w:sz w:val="22"/>
          <w:szCs w:val="22"/>
          <w:lang w:eastAsia="en-US"/>
        </w:rPr>
        <w:t xml:space="preserve">, </w:t>
      </w:r>
      <w:r>
        <w:rPr>
          <w:rFonts w:ascii="Arial" w:hAnsi="Arial" w:cs="Arial"/>
          <w:sz w:val="22"/>
          <w:szCs w:val="22"/>
          <w:lang w:eastAsia="en-US"/>
        </w:rPr>
        <w:t>the Chair</w:t>
      </w:r>
      <w:r w:rsidR="007B31F7">
        <w:rPr>
          <w:rFonts w:ascii="Arial" w:hAnsi="Arial" w:cs="Arial"/>
          <w:sz w:val="22"/>
          <w:szCs w:val="22"/>
          <w:lang w:eastAsia="en-US"/>
        </w:rPr>
        <w:t xml:space="preserve"> of the Board</w:t>
      </w:r>
      <w:r w:rsidR="005C53A0">
        <w:rPr>
          <w:rFonts w:ascii="Arial" w:hAnsi="Arial" w:cs="Arial"/>
          <w:sz w:val="22"/>
          <w:szCs w:val="22"/>
          <w:lang w:eastAsia="en-US"/>
        </w:rPr>
        <w:t xml:space="preserve"> and </w:t>
      </w:r>
      <w:r w:rsidR="009752EC">
        <w:rPr>
          <w:rFonts w:ascii="Arial" w:hAnsi="Arial" w:cs="Arial"/>
          <w:sz w:val="22"/>
          <w:szCs w:val="22"/>
          <w:lang w:eastAsia="en-US"/>
        </w:rPr>
        <w:t>senior management</w:t>
      </w:r>
      <w:r>
        <w:rPr>
          <w:rFonts w:ascii="Arial" w:hAnsi="Arial" w:cs="Arial"/>
          <w:sz w:val="22"/>
          <w:szCs w:val="22"/>
          <w:lang w:eastAsia="en-US"/>
        </w:rPr>
        <w:t xml:space="preserve">, including any compensation payments; and determine their </w:t>
      </w:r>
      <w:r w:rsidRPr="000F509B">
        <w:rPr>
          <w:rFonts w:ascii="Arial" w:hAnsi="Arial" w:cs="Arial"/>
          <w:sz w:val="22"/>
          <w:szCs w:val="22"/>
          <w:lang w:eastAsia="en-US"/>
        </w:rPr>
        <w:t>total individual remuneration packages (including new appointments and where appropriate, bonuses, participation in incentive schemes and share-based performance plans, (taking into account information from comparable companies where relevant)).</w:t>
      </w:r>
      <w:r>
        <w:rPr>
          <w:rFonts w:ascii="Arial" w:hAnsi="Arial" w:cs="Arial"/>
          <w:sz w:val="22"/>
          <w:szCs w:val="22"/>
          <w:lang w:eastAsia="en-US"/>
        </w:rPr>
        <w:t xml:space="preserve"> The Committee should also recommend and monitor the level</w:t>
      </w:r>
      <w:r w:rsidR="008E474F">
        <w:rPr>
          <w:rFonts w:ascii="Arial" w:hAnsi="Arial" w:cs="Arial"/>
          <w:sz w:val="22"/>
          <w:szCs w:val="22"/>
          <w:lang w:eastAsia="en-US"/>
        </w:rPr>
        <w:t xml:space="preserve"> and overall reasonableness of the</w:t>
      </w:r>
      <w:r w:rsidR="009752EC">
        <w:rPr>
          <w:rFonts w:ascii="Arial" w:hAnsi="Arial" w:cs="Arial"/>
          <w:sz w:val="22"/>
          <w:szCs w:val="22"/>
          <w:lang w:eastAsia="en-US"/>
        </w:rPr>
        <w:t xml:space="preserve"> </w:t>
      </w:r>
      <w:r>
        <w:rPr>
          <w:rFonts w:ascii="Arial" w:hAnsi="Arial" w:cs="Arial"/>
          <w:sz w:val="22"/>
          <w:szCs w:val="22"/>
          <w:lang w:eastAsia="en-US"/>
        </w:rPr>
        <w:t>structure</w:t>
      </w:r>
      <w:r w:rsidR="009752EC">
        <w:rPr>
          <w:rFonts w:ascii="Arial" w:hAnsi="Arial" w:cs="Arial"/>
          <w:sz w:val="22"/>
          <w:szCs w:val="22"/>
          <w:lang w:eastAsia="en-US"/>
        </w:rPr>
        <w:t xml:space="preserve"> </w:t>
      </w:r>
      <w:r>
        <w:rPr>
          <w:rFonts w:ascii="Arial" w:hAnsi="Arial" w:cs="Arial"/>
          <w:sz w:val="22"/>
          <w:szCs w:val="22"/>
          <w:lang w:eastAsia="en-US"/>
        </w:rPr>
        <w:t xml:space="preserve">of remuneration for </w:t>
      </w:r>
      <w:r w:rsidR="00C61841">
        <w:rPr>
          <w:rFonts w:ascii="Arial" w:hAnsi="Arial" w:cs="Arial"/>
          <w:sz w:val="22"/>
          <w:szCs w:val="22"/>
          <w:lang w:eastAsia="en-US"/>
        </w:rPr>
        <w:t xml:space="preserve">the </w:t>
      </w:r>
      <w:r w:rsidR="001C4E39">
        <w:rPr>
          <w:rFonts w:ascii="Arial" w:hAnsi="Arial" w:cs="Arial"/>
          <w:sz w:val="22"/>
          <w:szCs w:val="22"/>
          <w:lang w:eastAsia="en-US"/>
        </w:rPr>
        <w:t xml:space="preserve">general </w:t>
      </w:r>
      <w:r w:rsidR="00C61841">
        <w:rPr>
          <w:rFonts w:ascii="Arial" w:hAnsi="Arial" w:cs="Arial"/>
          <w:sz w:val="22"/>
          <w:szCs w:val="22"/>
          <w:lang w:eastAsia="en-US"/>
        </w:rPr>
        <w:t>workforce</w:t>
      </w:r>
      <w:r>
        <w:rPr>
          <w:rFonts w:ascii="Arial" w:hAnsi="Arial" w:cs="Arial"/>
          <w:sz w:val="22"/>
          <w:szCs w:val="22"/>
          <w:lang w:eastAsia="en-US"/>
        </w:rPr>
        <w:t>.</w:t>
      </w:r>
      <w:r w:rsidRPr="000F509B">
        <w:rPr>
          <w:rFonts w:ascii="Arial" w:hAnsi="Arial" w:cs="Arial"/>
          <w:sz w:val="22"/>
          <w:szCs w:val="22"/>
          <w:lang w:eastAsia="en-US"/>
        </w:rPr>
        <w:t xml:space="preserve"> The </w:t>
      </w:r>
      <w:r w:rsidRPr="000F509B">
        <w:rPr>
          <w:rFonts w:ascii="Arial" w:hAnsi="Arial" w:cs="Arial"/>
          <w:sz w:val="22"/>
          <w:szCs w:val="22"/>
          <w:lang w:eastAsia="en-US"/>
        </w:rPr>
        <w:lastRenderedPageBreak/>
        <w:t>remuneration of non-executive directors shall be a matter for the Board</w:t>
      </w:r>
      <w:r>
        <w:rPr>
          <w:rFonts w:ascii="Arial" w:hAnsi="Arial" w:cs="Arial"/>
          <w:sz w:val="22"/>
          <w:szCs w:val="22"/>
          <w:lang w:eastAsia="en-US"/>
        </w:rPr>
        <w:t>,</w:t>
      </w:r>
      <w:r w:rsidRPr="000F509B">
        <w:rPr>
          <w:rFonts w:ascii="Arial" w:hAnsi="Arial" w:cs="Arial"/>
          <w:sz w:val="22"/>
          <w:szCs w:val="22"/>
          <w:lang w:eastAsia="en-US"/>
        </w:rPr>
        <w:t xml:space="preserve"> excluding non-executive directors. No director shall be involved in any decision regarding their own remuneration;</w:t>
      </w:r>
    </w:p>
    <w:p w14:paraId="3FE866C0" w14:textId="77777777" w:rsidR="00ED4D46" w:rsidRPr="000F509B" w:rsidRDefault="00ED4D46" w:rsidP="00ED4D46">
      <w:pPr>
        <w:numPr>
          <w:ilvl w:val="2"/>
          <w:numId w:val="15"/>
        </w:numPr>
        <w:tabs>
          <w:tab w:val="left" w:pos="993"/>
        </w:tabs>
        <w:spacing w:line="276" w:lineRule="auto"/>
        <w:ind w:left="1440" w:hanging="589"/>
        <w:jc w:val="both"/>
        <w:rPr>
          <w:rFonts w:ascii="Arial" w:hAnsi="Arial" w:cs="Arial"/>
          <w:sz w:val="22"/>
          <w:szCs w:val="22"/>
          <w:lang w:eastAsia="en-US"/>
        </w:rPr>
      </w:pPr>
      <w:r w:rsidRPr="000F509B">
        <w:rPr>
          <w:rFonts w:ascii="Arial" w:hAnsi="Arial" w:cs="Arial"/>
          <w:sz w:val="22"/>
          <w:szCs w:val="22"/>
          <w:lang w:eastAsia="en-US"/>
        </w:rPr>
        <w:t xml:space="preserve">In determining such policy </w:t>
      </w:r>
      <w:proofErr w:type="gramStart"/>
      <w:r w:rsidRPr="000F509B">
        <w:rPr>
          <w:rFonts w:ascii="Arial" w:hAnsi="Arial" w:cs="Arial"/>
          <w:sz w:val="22"/>
          <w:szCs w:val="22"/>
          <w:lang w:eastAsia="en-US"/>
        </w:rPr>
        <w:t>take into account</w:t>
      </w:r>
      <w:proofErr w:type="gramEnd"/>
      <w:r w:rsidRPr="000F509B">
        <w:rPr>
          <w:rFonts w:ascii="Arial" w:hAnsi="Arial" w:cs="Arial"/>
          <w:sz w:val="22"/>
          <w:szCs w:val="22"/>
          <w:lang w:eastAsia="en-US"/>
        </w:rPr>
        <w:t xml:space="preserve"> all factors which it deems necessary including the following:</w:t>
      </w:r>
    </w:p>
    <w:p w14:paraId="51BA9DC7" w14:textId="37955236" w:rsidR="00ED4D46" w:rsidRPr="000F509B" w:rsidRDefault="00ED4D46" w:rsidP="00ED4D46">
      <w:pPr>
        <w:spacing w:line="276" w:lineRule="auto"/>
        <w:ind w:left="2268" w:hanging="850"/>
        <w:jc w:val="both"/>
        <w:rPr>
          <w:rFonts w:ascii="Arial" w:hAnsi="Arial" w:cs="Arial"/>
          <w:sz w:val="22"/>
          <w:szCs w:val="22"/>
          <w:lang w:eastAsia="en-US"/>
        </w:rPr>
      </w:pPr>
      <w:r w:rsidRPr="000F509B">
        <w:rPr>
          <w:rFonts w:ascii="Arial" w:hAnsi="Arial" w:cs="Arial"/>
          <w:sz w:val="22"/>
          <w:szCs w:val="22"/>
          <w:lang w:eastAsia="en-US"/>
        </w:rPr>
        <w:t>7.1.2.1. Relevant legal and regulatory requirements and the provisions of the UK</w:t>
      </w:r>
      <w:r>
        <w:rPr>
          <w:rFonts w:ascii="Arial" w:hAnsi="Arial" w:cs="Arial"/>
          <w:sz w:val="22"/>
          <w:szCs w:val="22"/>
          <w:lang w:eastAsia="en-US"/>
        </w:rPr>
        <w:t xml:space="preserve"> </w:t>
      </w:r>
      <w:r w:rsidRPr="000F509B">
        <w:rPr>
          <w:rFonts w:ascii="Arial" w:hAnsi="Arial" w:cs="Arial"/>
          <w:sz w:val="22"/>
          <w:szCs w:val="22"/>
          <w:lang w:eastAsia="en-US"/>
        </w:rPr>
        <w:t xml:space="preserve">Corporate Governance Code and associated best practice guidance. The objective of such a policy being to attract, retain and motivate executive </w:t>
      </w:r>
      <w:r>
        <w:rPr>
          <w:rFonts w:ascii="Arial" w:hAnsi="Arial" w:cs="Arial"/>
          <w:sz w:val="22"/>
          <w:szCs w:val="22"/>
          <w:lang w:eastAsia="en-US"/>
        </w:rPr>
        <w:t>directors</w:t>
      </w:r>
      <w:r w:rsidR="00434A4D">
        <w:rPr>
          <w:rFonts w:ascii="Arial" w:hAnsi="Arial" w:cs="Arial"/>
          <w:sz w:val="22"/>
          <w:szCs w:val="22"/>
          <w:lang w:eastAsia="en-US"/>
        </w:rPr>
        <w:t xml:space="preserve"> and senior management</w:t>
      </w:r>
      <w:r w:rsidRPr="000F509B">
        <w:rPr>
          <w:rFonts w:ascii="Arial" w:hAnsi="Arial" w:cs="Arial"/>
          <w:sz w:val="22"/>
          <w:szCs w:val="22"/>
          <w:lang w:eastAsia="en-US"/>
        </w:rPr>
        <w:t xml:space="preserve"> of the quality required to run the Company successfully without paying more than is necessary, having regard for the views of shareholders and other stakeholders. The policy should also have regard to the risk appetite of the Company and alignment to the Company’s </w:t>
      </w:r>
      <w:proofErr w:type="gramStart"/>
      <w:r w:rsidRPr="000F509B">
        <w:rPr>
          <w:rFonts w:ascii="Arial" w:hAnsi="Arial" w:cs="Arial"/>
          <w:sz w:val="22"/>
          <w:szCs w:val="22"/>
          <w:lang w:eastAsia="en-US"/>
        </w:rPr>
        <w:t>long term</w:t>
      </w:r>
      <w:proofErr w:type="gramEnd"/>
      <w:r w:rsidRPr="000F509B">
        <w:rPr>
          <w:rFonts w:ascii="Arial" w:hAnsi="Arial" w:cs="Arial"/>
          <w:sz w:val="22"/>
          <w:szCs w:val="22"/>
          <w:lang w:eastAsia="en-US"/>
        </w:rPr>
        <w:t xml:space="preserve"> strategic goals</w:t>
      </w:r>
      <w:r w:rsidR="009752EC">
        <w:rPr>
          <w:rFonts w:ascii="Arial" w:hAnsi="Arial" w:cs="Arial"/>
          <w:sz w:val="22"/>
          <w:szCs w:val="22"/>
          <w:lang w:eastAsia="en-US"/>
        </w:rPr>
        <w:t xml:space="preserve"> and its culture</w:t>
      </w:r>
      <w:r w:rsidRPr="000F509B">
        <w:rPr>
          <w:rFonts w:ascii="Arial" w:hAnsi="Arial" w:cs="Arial"/>
          <w:sz w:val="22"/>
          <w:szCs w:val="22"/>
          <w:lang w:eastAsia="en-US"/>
        </w:rPr>
        <w:t xml:space="preserve">; </w:t>
      </w:r>
      <w:r w:rsidR="00DC276A">
        <w:rPr>
          <w:rFonts w:ascii="Arial" w:hAnsi="Arial" w:cs="Arial"/>
          <w:sz w:val="22"/>
          <w:szCs w:val="22"/>
          <w:lang w:eastAsia="en-US"/>
        </w:rPr>
        <w:t xml:space="preserve"> </w:t>
      </w:r>
    </w:p>
    <w:p w14:paraId="7F43C6D0" w14:textId="77777777" w:rsidR="00ED4D46" w:rsidRPr="000F509B" w:rsidRDefault="00ED4D46" w:rsidP="00ED4D46">
      <w:pPr>
        <w:spacing w:line="276" w:lineRule="auto"/>
        <w:ind w:left="2268" w:hanging="850"/>
        <w:jc w:val="both"/>
        <w:rPr>
          <w:rFonts w:ascii="Arial" w:hAnsi="Arial" w:cs="Arial"/>
          <w:sz w:val="22"/>
          <w:szCs w:val="22"/>
          <w:lang w:eastAsia="en-US"/>
        </w:rPr>
      </w:pPr>
      <w:r w:rsidRPr="000F509B">
        <w:rPr>
          <w:rFonts w:ascii="Arial" w:hAnsi="Arial" w:cs="Arial"/>
          <w:sz w:val="22"/>
          <w:szCs w:val="22"/>
          <w:lang w:eastAsia="en-US"/>
        </w:rPr>
        <w:t xml:space="preserve">7.1.2.2. Ensure that </w:t>
      </w:r>
      <w:r>
        <w:rPr>
          <w:rFonts w:ascii="Arial" w:hAnsi="Arial" w:cs="Arial"/>
          <w:sz w:val="22"/>
          <w:szCs w:val="22"/>
          <w:lang w:eastAsia="en-US"/>
        </w:rPr>
        <w:t>executive directors and senior management</w:t>
      </w:r>
      <w:r w:rsidRPr="000F509B">
        <w:rPr>
          <w:rFonts w:ascii="Arial" w:hAnsi="Arial" w:cs="Arial"/>
          <w:sz w:val="22"/>
          <w:szCs w:val="22"/>
          <w:lang w:eastAsia="en-US"/>
        </w:rPr>
        <w:t xml:space="preserve"> of the Company are provided with appropriate incentives to encourage enhanced Group and individual performance and are, in a fair and responsible manner, rewarded for their individual contributions to the long-term success of the Group;</w:t>
      </w:r>
    </w:p>
    <w:p w14:paraId="662F0C80" w14:textId="77777777" w:rsidR="00ED4D46" w:rsidRPr="000F509B" w:rsidRDefault="00ED4D46" w:rsidP="00ED4D46">
      <w:pPr>
        <w:spacing w:line="276" w:lineRule="auto"/>
        <w:ind w:left="2268" w:hanging="850"/>
        <w:jc w:val="both"/>
        <w:rPr>
          <w:rFonts w:ascii="Arial" w:hAnsi="Arial" w:cs="Arial"/>
          <w:sz w:val="22"/>
          <w:szCs w:val="22"/>
          <w:lang w:eastAsia="en-US"/>
        </w:rPr>
      </w:pPr>
      <w:r w:rsidRPr="000F509B">
        <w:rPr>
          <w:rFonts w:ascii="Arial" w:hAnsi="Arial" w:cs="Arial"/>
          <w:sz w:val="22"/>
          <w:szCs w:val="22"/>
          <w:lang w:eastAsia="en-US"/>
        </w:rPr>
        <w:t>7.1.2.3. Be sensitive to remuneration and employment conditions elsewhere in the</w:t>
      </w:r>
      <w:r>
        <w:rPr>
          <w:rFonts w:ascii="Arial" w:hAnsi="Arial" w:cs="Arial"/>
          <w:sz w:val="22"/>
          <w:szCs w:val="22"/>
          <w:lang w:eastAsia="en-US"/>
        </w:rPr>
        <w:t xml:space="preserve"> </w:t>
      </w:r>
      <w:r w:rsidRPr="000F509B">
        <w:rPr>
          <w:rFonts w:ascii="Arial" w:hAnsi="Arial" w:cs="Arial"/>
          <w:sz w:val="22"/>
          <w:szCs w:val="22"/>
          <w:lang w:eastAsia="en-US"/>
        </w:rPr>
        <w:t xml:space="preserve">Group and take them into account when determining remuneration; </w:t>
      </w:r>
    </w:p>
    <w:p w14:paraId="35FF7CEB" w14:textId="77777777" w:rsidR="00ED4D46" w:rsidRPr="000F509B" w:rsidRDefault="00ED4D46" w:rsidP="00ED4D46">
      <w:pPr>
        <w:spacing w:line="276" w:lineRule="auto"/>
        <w:ind w:left="2268" w:hanging="850"/>
        <w:jc w:val="both"/>
        <w:rPr>
          <w:rFonts w:ascii="Arial" w:hAnsi="Arial" w:cs="Arial"/>
          <w:sz w:val="22"/>
          <w:szCs w:val="22"/>
          <w:lang w:eastAsia="en-US"/>
        </w:rPr>
      </w:pPr>
      <w:r w:rsidRPr="000F509B">
        <w:rPr>
          <w:rFonts w:ascii="Arial" w:hAnsi="Arial" w:cs="Arial"/>
          <w:sz w:val="22"/>
          <w:szCs w:val="22"/>
          <w:lang w:eastAsia="en-US"/>
        </w:rPr>
        <w:t>7.1.2.4. Design the performance-related elements of remuneration to align the interests of the Group’s senior management with those of shareholders; and</w:t>
      </w:r>
    </w:p>
    <w:p w14:paraId="256804DC" w14:textId="77777777" w:rsidR="00ED4D46" w:rsidRPr="000F509B" w:rsidRDefault="00ED4D46" w:rsidP="00ED4D46">
      <w:pPr>
        <w:spacing w:line="276" w:lineRule="auto"/>
        <w:ind w:left="2268" w:hanging="850"/>
        <w:jc w:val="both"/>
        <w:rPr>
          <w:rFonts w:ascii="Arial" w:hAnsi="Arial" w:cs="Arial"/>
          <w:sz w:val="22"/>
          <w:szCs w:val="22"/>
          <w:lang w:eastAsia="en-US"/>
        </w:rPr>
      </w:pPr>
      <w:r w:rsidRPr="000F509B">
        <w:rPr>
          <w:rFonts w:ascii="Arial" w:hAnsi="Arial" w:cs="Arial"/>
          <w:sz w:val="22"/>
          <w:szCs w:val="22"/>
          <w:lang w:eastAsia="en-US"/>
        </w:rPr>
        <w:t>7.1.2.5. Review the ongoing appropriateness and relevance of the policy.</w:t>
      </w:r>
    </w:p>
    <w:p w14:paraId="228F3C52" w14:textId="77777777" w:rsidR="00ED4D46" w:rsidRPr="000F509B"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Approve the design of and determine the eligibility criteria and targets for any performance-related pay schemes, long term incentive plans, share option or similar plans operated by the Company and that the performance measures and targets used are transparent, stretching and rigorously applied;</w:t>
      </w:r>
    </w:p>
    <w:p w14:paraId="6C09EBCE" w14:textId="77777777" w:rsidR="00ED4D46" w:rsidRPr="000F509B"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Operate and undertake an annual assessment of the Company’s share-based remuneration plans, and make recommendations to the Board and shareholders as appropriate;</w:t>
      </w:r>
    </w:p>
    <w:p w14:paraId="53A82BC1" w14:textId="31747E3E" w:rsidR="00ED4D46" w:rsidRPr="00434A4D"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Design and invoke agreed safeguards which allows the Company, in specified circumstances, to forfeit all or part of a bonus or performance related pay schemes before it has been vested and been paid, i.e. ‘performance adjustment’ or ‘malus’ provisions; and or recover sums already paid, i.e. ‘clawback’ provisions;</w:t>
      </w:r>
      <w:r w:rsidR="00C61841">
        <w:rPr>
          <w:rFonts w:ascii="Arial" w:hAnsi="Arial" w:cs="Arial"/>
          <w:sz w:val="22"/>
          <w:szCs w:val="22"/>
          <w:lang w:eastAsia="en-US"/>
        </w:rPr>
        <w:t xml:space="preserve"> </w:t>
      </w:r>
    </w:p>
    <w:p w14:paraId="75A376EF" w14:textId="77777777" w:rsidR="00ED4D46" w:rsidRPr="000F509B"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 xml:space="preserve">Determine the policy for and scope of service agreements and pension arrangements, for the executive </w:t>
      </w:r>
      <w:r>
        <w:rPr>
          <w:rFonts w:ascii="Arial" w:hAnsi="Arial" w:cs="Arial"/>
          <w:sz w:val="22"/>
          <w:szCs w:val="22"/>
          <w:lang w:eastAsia="en-US"/>
        </w:rPr>
        <w:t>directors and senior management</w:t>
      </w:r>
      <w:r w:rsidRPr="000F509B">
        <w:rPr>
          <w:rFonts w:ascii="Arial" w:hAnsi="Arial" w:cs="Arial"/>
          <w:sz w:val="22"/>
          <w:szCs w:val="22"/>
          <w:lang w:eastAsia="en-US"/>
        </w:rPr>
        <w:t xml:space="preserve"> referred to in 7.1.1;</w:t>
      </w:r>
    </w:p>
    <w:p w14:paraId="1B169747" w14:textId="77777777" w:rsidR="00ED4D46" w:rsidRPr="000F509B"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Ensure that contractual terms on termination and any payments made are fair as between the individual and the Company, that failure is not rewarded and that the duty to mitigate loss is fairly applied;</w:t>
      </w:r>
    </w:p>
    <w:p w14:paraId="4CB63A5C" w14:textId="77777777" w:rsidR="00ED4D46" w:rsidRPr="000F509B" w:rsidRDefault="00ED4D46" w:rsidP="00ED4D46">
      <w:pPr>
        <w:numPr>
          <w:ilvl w:val="2"/>
          <w:numId w:val="15"/>
        </w:numPr>
        <w:tabs>
          <w:tab w:val="left" w:pos="993"/>
        </w:tabs>
        <w:spacing w:line="276" w:lineRule="auto"/>
        <w:ind w:left="1418" w:hanging="720"/>
        <w:jc w:val="both"/>
        <w:rPr>
          <w:rFonts w:ascii="Arial" w:hAnsi="Arial" w:cs="Arial"/>
          <w:sz w:val="22"/>
          <w:szCs w:val="22"/>
          <w:lang w:eastAsia="en-US"/>
        </w:rPr>
      </w:pPr>
      <w:r w:rsidRPr="000F509B">
        <w:rPr>
          <w:rFonts w:ascii="Arial" w:hAnsi="Arial" w:cs="Arial"/>
          <w:sz w:val="22"/>
          <w:szCs w:val="22"/>
          <w:lang w:eastAsia="en-US"/>
        </w:rPr>
        <w:t xml:space="preserve">In determining the packages and arrangements mentioned above, give due regard to any relevant legal requirements, the principles and recommendations of the UK Corporate Governance Code, UK Listing Authority’s Listing, </w:t>
      </w:r>
      <w:r w:rsidRPr="000F509B">
        <w:rPr>
          <w:rFonts w:ascii="Arial" w:hAnsi="Arial" w:cs="Arial"/>
          <w:sz w:val="22"/>
          <w:szCs w:val="22"/>
          <w:lang w:eastAsia="en-US"/>
        </w:rPr>
        <w:lastRenderedPageBreak/>
        <w:t>Prospectus and Disclosure and Transparency Rules, relevant Directors’ Remuneration Reporting Guidance and Statement and any other applicable guidance and statements of best practice;</w:t>
      </w:r>
    </w:p>
    <w:p w14:paraId="05E9C4C6" w14:textId="77777777" w:rsidR="00ED4D46" w:rsidRPr="000F509B"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Oversee and advise on any major changes in employee benefit structures throughout the Group;</w:t>
      </w:r>
    </w:p>
    <w:p w14:paraId="742EA23D" w14:textId="77777777" w:rsidR="00ED4D46" w:rsidRPr="000F509B"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Agree the policy for authorising claims for expenses from the directors;</w:t>
      </w:r>
    </w:p>
    <w:p w14:paraId="3C12F4D9" w14:textId="77777777" w:rsidR="00ED4D46" w:rsidRPr="000F509B" w:rsidRDefault="00ED4D46" w:rsidP="00ED4D46">
      <w:pPr>
        <w:numPr>
          <w:ilvl w:val="2"/>
          <w:numId w:val="15"/>
        </w:numPr>
        <w:tabs>
          <w:tab w:val="left" w:pos="993"/>
        </w:tabs>
        <w:spacing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Be exclusively responsible for establishing the selection criteria, selecting, appointing and setting the terms of reference for any remuneration or similar consultants who advise the Committee; and</w:t>
      </w:r>
    </w:p>
    <w:p w14:paraId="3E47F7E2" w14:textId="77777777" w:rsidR="00ED4D46" w:rsidRPr="000F509B" w:rsidRDefault="00ED4D46" w:rsidP="00ED4D46">
      <w:pPr>
        <w:numPr>
          <w:ilvl w:val="2"/>
          <w:numId w:val="15"/>
        </w:numPr>
        <w:tabs>
          <w:tab w:val="left" w:pos="993"/>
        </w:tabs>
        <w:spacing w:after="120" w:line="276" w:lineRule="auto"/>
        <w:ind w:left="1440" w:hanging="720"/>
        <w:jc w:val="both"/>
        <w:rPr>
          <w:rFonts w:ascii="Arial" w:hAnsi="Arial" w:cs="Arial"/>
          <w:sz w:val="22"/>
          <w:szCs w:val="22"/>
          <w:lang w:eastAsia="en-US"/>
        </w:rPr>
      </w:pPr>
      <w:r w:rsidRPr="000F509B">
        <w:rPr>
          <w:rFonts w:ascii="Arial" w:hAnsi="Arial" w:cs="Arial"/>
          <w:sz w:val="22"/>
          <w:szCs w:val="22"/>
          <w:lang w:eastAsia="en-US"/>
        </w:rPr>
        <w:t>Agree any shareholding guidelines for executive directors and senior management.</w:t>
      </w:r>
    </w:p>
    <w:p w14:paraId="69FD64C7" w14:textId="77777777" w:rsidR="00ED4D46" w:rsidRPr="000F509B" w:rsidRDefault="00ED4D46" w:rsidP="00ED4D46">
      <w:pPr>
        <w:tabs>
          <w:tab w:val="left" w:pos="993"/>
        </w:tabs>
        <w:jc w:val="both"/>
        <w:rPr>
          <w:rFonts w:ascii="Arial" w:hAnsi="Arial" w:cs="Arial"/>
          <w:sz w:val="22"/>
          <w:szCs w:val="22"/>
          <w:lang w:eastAsia="en-US"/>
        </w:rPr>
      </w:pPr>
    </w:p>
    <w:p w14:paraId="391011AA" w14:textId="77777777" w:rsidR="00ED4D46" w:rsidRPr="000F509B" w:rsidRDefault="00ED4D46" w:rsidP="00ED4D46">
      <w:pPr>
        <w:numPr>
          <w:ilvl w:val="0"/>
          <w:numId w:val="15"/>
        </w:numPr>
        <w:tabs>
          <w:tab w:val="left" w:pos="993"/>
        </w:tabs>
        <w:spacing w:line="276" w:lineRule="auto"/>
        <w:jc w:val="both"/>
        <w:rPr>
          <w:rFonts w:ascii="Arial" w:hAnsi="Arial" w:cs="Arial"/>
          <w:sz w:val="22"/>
          <w:szCs w:val="22"/>
          <w:lang w:eastAsia="en-US"/>
        </w:rPr>
      </w:pPr>
      <w:r w:rsidRPr="000F509B">
        <w:rPr>
          <w:rFonts w:ascii="Arial" w:hAnsi="Arial" w:cs="Arial"/>
          <w:b/>
          <w:sz w:val="22"/>
          <w:szCs w:val="22"/>
          <w:lang w:eastAsia="en-US"/>
        </w:rPr>
        <w:t>Authority</w:t>
      </w:r>
    </w:p>
    <w:p w14:paraId="38828BC3" w14:textId="77777777" w:rsidR="00ED4D46" w:rsidRPr="000F509B" w:rsidRDefault="00ED4D46" w:rsidP="00ED4D46">
      <w:pPr>
        <w:numPr>
          <w:ilvl w:val="1"/>
          <w:numId w:val="15"/>
        </w:numPr>
        <w:tabs>
          <w:tab w:val="left" w:pos="993"/>
        </w:tabs>
        <w:spacing w:line="276" w:lineRule="auto"/>
        <w:ind w:left="788" w:hanging="431"/>
        <w:jc w:val="both"/>
        <w:rPr>
          <w:rFonts w:ascii="Arial" w:hAnsi="Arial" w:cs="Arial"/>
          <w:sz w:val="22"/>
          <w:szCs w:val="22"/>
          <w:lang w:eastAsia="en-US"/>
        </w:rPr>
      </w:pPr>
      <w:r w:rsidRPr="000F509B">
        <w:rPr>
          <w:rFonts w:ascii="Arial" w:hAnsi="Arial" w:cs="Arial"/>
          <w:sz w:val="22"/>
          <w:szCs w:val="22"/>
          <w:lang w:eastAsia="en-US"/>
        </w:rPr>
        <w:t>The Committee is authorised by the Board to:-</w:t>
      </w:r>
    </w:p>
    <w:p w14:paraId="03388BFD" w14:textId="77777777" w:rsidR="00ED4D46" w:rsidRPr="000F509B" w:rsidRDefault="00ED4D46" w:rsidP="00ED4D46">
      <w:pPr>
        <w:numPr>
          <w:ilvl w:val="2"/>
          <w:numId w:val="15"/>
        </w:numPr>
        <w:tabs>
          <w:tab w:val="left" w:pos="993"/>
        </w:tabs>
        <w:spacing w:line="276" w:lineRule="auto"/>
        <w:ind w:left="1440" w:hanging="589"/>
        <w:jc w:val="both"/>
        <w:rPr>
          <w:rFonts w:ascii="Arial" w:hAnsi="Arial" w:cs="Arial"/>
          <w:sz w:val="22"/>
          <w:szCs w:val="22"/>
          <w:lang w:eastAsia="en-US"/>
        </w:rPr>
      </w:pPr>
      <w:r>
        <w:rPr>
          <w:rFonts w:ascii="Arial" w:hAnsi="Arial" w:cs="Arial"/>
          <w:sz w:val="22"/>
          <w:szCs w:val="22"/>
          <w:lang w:eastAsia="en-US"/>
        </w:rPr>
        <w:t>S</w:t>
      </w:r>
      <w:r w:rsidRPr="000F509B">
        <w:rPr>
          <w:rFonts w:ascii="Arial" w:hAnsi="Arial" w:cs="Arial"/>
          <w:sz w:val="22"/>
          <w:szCs w:val="22"/>
          <w:lang w:eastAsia="en-US"/>
        </w:rPr>
        <w:t>eek any information it requires from any employee of the Group in order to perform its duties;</w:t>
      </w:r>
    </w:p>
    <w:p w14:paraId="2B5F1BB7" w14:textId="77777777" w:rsidR="00ED4D46" w:rsidRPr="000F509B" w:rsidRDefault="00ED4D46" w:rsidP="00ED4D46">
      <w:pPr>
        <w:numPr>
          <w:ilvl w:val="2"/>
          <w:numId w:val="15"/>
        </w:numPr>
        <w:tabs>
          <w:tab w:val="left" w:pos="993"/>
        </w:tabs>
        <w:spacing w:line="276" w:lineRule="auto"/>
        <w:ind w:left="1440" w:hanging="589"/>
        <w:jc w:val="both"/>
        <w:rPr>
          <w:rFonts w:ascii="Arial" w:hAnsi="Arial" w:cs="Arial"/>
          <w:sz w:val="22"/>
          <w:szCs w:val="22"/>
          <w:lang w:eastAsia="en-US"/>
        </w:rPr>
      </w:pPr>
      <w:r>
        <w:rPr>
          <w:rFonts w:ascii="Arial" w:hAnsi="Arial" w:cs="Arial"/>
          <w:sz w:val="22"/>
          <w:szCs w:val="22"/>
          <w:lang w:eastAsia="en-US"/>
        </w:rPr>
        <w:t>O</w:t>
      </w:r>
      <w:r w:rsidRPr="000F509B">
        <w:rPr>
          <w:rFonts w:ascii="Arial" w:hAnsi="Arial" w:cs="Arial"/>
          <w:sz w:val="22"/>
          <w:szCs w:val="22"/>
          <w:lang w:eastAsia="en-US"/>
        </w:rPr>
        <w:t>btain any legal or other professional advice outside of the Group, including the advice of independent remuneration consultants in the fulfilment of its duties as required;</w:t>
      </w:r>
    </w:p>
    <w:p w14:paraId="7AB6F4CD" w14:textId="77777777" w:rsidR="00ED4D46" w:rsidRPr="000F509B" w:rsidRDefault="00ED4D46" w:rsidP="00ED4D46">
      <w:pPr>
        <w:numPr>
          <w:ilvl w:val="2"/>
          <w:numId w:val="15"/>
        </w:numPr>
        <w:tabs>
          <w:tab w:val="left" w:pos="993"/>
        </w:tabs>
        <w:spacing w:line="276" w:lineRule="auto"/>
        <w:ind w:left="1440" w:hanging="589"/>
        <w:jc w:val="both"/>
        <w:rPr>
          <w:rFonts w:ascii="Arial" w:hAnsi="Arial" w:cs="Arial"/>
          <w:sz w:val="22"/>
          <w:szCs w:val="22"/>
          <w:lang w:eastAsia="en-US"/>
        </w:rPr>
      </w:pPr>
      <w:r>
        <w:rPr>
          <w:rFonts w:ascii="Arial" w:hAnsi="Arial" w:cs="Arial"/>
          <w:sz w:val="22"/>
          <w:szCs w:val="22"/>
          <w:lang w:eastAsia="en-US"/>
        </w:rPr>
        <w:t>S</w:t>
      </w:r>
      <w:r w:rsidRPr="000F509B">
        <w:rPr>
          <w:rFonts w:ascii="Arial" w:hAnsi="Arial" w:cs="Arial"/>
          <w:sz w:val="22"/>
          <w:szCs w:val="22"/>
          <w:lang w:eastAsia="en-US"/>
        </w:rPr>
        <w:t>ecure the attendance of external advisers at Committee meetings, if it considers this necessary;</w:t>
      </w:r>
    </w:p>
    <w:p w14:paraId="57DA4B97" w14:textId="77777777" w:rsidR="00ED4D46" w:rsidRPr="000F509B" w:rsidRDefault="00ED4D46" w:rsidP="00ED4D46">
      <w:pPr>
        <w:numPr>
          <w:ilvl w:val="2"/>
          <w:numId w:val="15"/>
        </w:numPr>
        <w:tabs>
          <w:tab w:val="left" w:pos="993"/>
        </w:tabs>
        <w:spacing w:line="276" w:lineRule="auto"/>
        <w:ind w:left="1440" w:hanging="589"/>
        <w:jc w:val="both"/>
        <w:rPr>
          <w:rFonts w:ascii="Arial" w:hAnsi="Arial" w:cs="Arial"/>
          <w:sz w:val="22"/>
          <w:szCs w:val="22"/>
          <w:lang w:eastAsia="en-US"/>
        </w:rPr>
      </w:pPr>
      <w:r>
        <w:rPr>
          <w:rFonts w:ascii="Arial" w:hAnsi="Arial" w:cs="Arial"/>
          <w:sz w:val="22"/>
          <w:szCs w:val="22"/>
          <w:lang w:eastAsia="en-US"/>
        </w:rPr>
        <w:t>O</w:t>
      </w:r>
      <w:r w:rsidRPr="000F509B">
        <w:rPr>
          <w:rFonts w:ascii="Arial" w:hAnsi="Arial" w:cs="Arial"/>
          <w:sz w:val="22"/>
          <w:szCs w:val="22"/>
          <w:lang w:eastAsia="en-US"/>
        </w:rPr>
        <w:t>btain reliable and up-to-date information about remuneration in other companies, at the Company's expense; and</w:t>
      </w:r>
    </w:p>
    <w:p w14:paraId="6C92C814" w14:textId="77777777" w:rsidR="00ED4D46" w:rsidRPr="000F509B" w:rsidRDefault="00ED4D46" w:rsidP="00ED4D46">
      <w:pPr>
        <w:numPr>
          <w:ilvl w:val="2"/>
          <w:numId w:val="15"/>
        </w:numPr>
        <w:tabs>
          <w:tab w:val="left" w:pos="993"/>
        </w:tabs>
        <w:spacing w:after="120" w:line="276" w:lineRule="auto"/>
        <w:ind w:left="1440" w:hanging="589"/>
        <w:jc w:val="both"/>
        <w:rPr>
          <w:rFonts w:ascii="Arial" w:hAnsi="Arial" w:cs="Arial"/>
          <w:sz w:val="22"/>
          <w:szCs w:val="22"/>
          <w:lang w:eastAsia="en-US"/>
        </w:rPr>
      </w:pPr>
      <w:r>
        <w:rPr>
          <w:rFonts w:ascii="Arial" w:hAnsi="Arial" w:cs="Arial"/>
          <w:sz w:val="22"/>
          <w:szCs w:val="22"/>
          <w:lang w:eastAsia="en-US"/>
        </w:rPr>
        <w:t>C</w:t>
      </w:r>
      <w:r w:rsidRPr="000F509B">
        <w:rPr>
          <w:rFonts w:ascii="Arial" w:hAnsi="Arial" w:cs="Arial"/>
          <w:sz w:val="22"/>
          <w:szCs w:val="22"/>
          <w:lang w:eastAsia="en-US"/>
        </w:rPr>
        <w:t>ommission any reports or surveys which it deems necessary to help it fulfil its obligations.</w:t>
      </w:r>
    </w:p>
    <w:p w14:paraId="56129A81" w14:textId="77777777" w:rsidR="00ED4D46" w:rsidRPr="000F509B" w:rsidRDefault="00ED4D46" w:rsidP="00ED4D46">
      <w:pPr>
        <w:tabs>
          <w:tab w:val="left" w:pos="993"/>
        </w:tabs>
        <w:spacing w:line="276" w:lineRule="auto"/>
        <w:jc w:val="both"/>
        <w:rPr>
          <w:rFonts w:ascii="Arial" w:hAnsi="Arial" w:cs="Arial"/>
          <w:sz w:val="22"/>
          <w:szCs w:val="22"/>
          <w:lang w:eastAsia="en-US"/>
        </w:rPr>
      </w:pPr>
    </w:p>
    <w:p w14:paraId="22BE2ECA" w14:textId="77777777" w:rsidR="00ED4D46" w:rsidRPr="000F509B" w:rsidRDefault="00ED4D46" w:rsidP="00ED4D46">
      <w:pPr>
        <w:numPr>
          <w:ilvl w:val="0"/>
          <w:numId w:val="15"/>
        </w:numPr>
        <w:tabs>
          <w:tab w:val="left" w:pos="426"/>
          <w:tab w:val="left" w:pos="993"/>
        </w:tabs>
        <w:spacing w:line="276" w:lineRule="auto"/>
        <w:jc w:val="both"/>
        <w:rPr>
          <w:rFonts w:ascii="Arial" w:hAnsi="Arial" w:cs="Arial"/>
          <w:sz w:val="22"/>
          <w:szCs w:val="22"/>
          <w:lang w:eastAsia="en-US"/>
        </w:rPr>
      </w:pPr>
      <w:r w:rsidRPr="000F509B">
        <w:rPr>
          <w:rFonts w:ascii="Arial" w:hAnsi="Arial" w:cs="Arial"/>
          <w:b/>
          <w:sz w:val="22"/>
          <w:szCs w:val="22"/>
          <w:lang w:eastAsia="en-US"/>
        </w:rPr>
        <w:t>Reporting and accountability</w:t>
      </w:r>
    </w:p>
    <w:p w14:paraId="7515D2BF" w14:textId="617165C3" w:rsidR="00ED4D46" w:rsidRPr="000F509B" w:rsidRDefault="00ED4D46" w:rsidP="00ED4D46">
      <w:pPr>
        <w:numPr>
          <w:ilvl w:val="1"/>
          <w:numId w:val="15"/>
        </w:numPr>
        <w:tabs>
          <w:tab w:val="left" w:pos="993"/>
        </w:tabs>
        <w:spacing w:line="276" w:lineRule="auto"/>
        <w:ind w:left="851" w:hanging="425"/>
        <w:jc w:val="both"/>
        <w:rPr>
          <w:rFonts w:ascii="Arial" w:hAnsi="Arial" w:cs="Arial"/>
          <w:sz w:val="22"/>
          <w:szCs w:val="22"/>
          <w:lang w:eastAsia="en-US"/>
        </w:rPr>
      </w:pPr>
      <w:r w:rsidRPr="000F509B">
        <w:rPr>
          <w:rFonts w:ascii="Arial" w:hAnsi="Arial" w:cs="Arial"/>
          <w:sz w:val="22"/>
          <w:szCs w:val="22"/>
          <w:lang w:eastAsia="en-US"/>
        </w:rPr>
        <w:t>The Chair of the Committee shall report formally to the Board on its proceedings after each meeting.</w:t>
      </w:r>
    </w:p>
    <w:p w14:paraId="6142E1A5" w14:textId="77777777" w:rsidR="00ED4D46" w:rsidRPr="000F509B" w:rsidRDefault="00ED4D46" w:rsidP="00ED4D46">
      <w:pPr>
        <w:numPr>
          <w:ilvl w:val="1"/>
          <w:numId w:val="15"/>
        </w:numPr>
        <w:tabs>
          <w:tab w:val="left" w:pos="993"/>
        </w:tabs>
        <w:spacing w:line="276" w:lineRule="auto"/>
        <w:ind w:left="851" w:hanging="425"/>
        <w:jc w:val="both"/>
        <w:rPr>
          <w:rFonts w:ascii="Arial" w:hAnsi="Arial" w:cs="Arial"/>
          <w:sz w:val="22"/>
          <w:szCs w:val="22"/>
          <w:lang w:eastAsia="en-US"/>
        </w:rPr>
      </w:pPr>
      <w:r w:rsidRPr="000F509B">
        <w:rPr>
          <w:rFonts w:ascii="Arial" w:hAnsi="Arial" w:cs="Arial"/>
          <w:sz w:val="22"/>
          <w:szCs w:val="22"/>
          <w:lang w:eastAsia="en-US"/>
        </w:rPr>
        <w:t>The Committee shall make whatever recommendations to the Board it deems appropriate on any area within its remit where action or improvement is needed.</w:t>
      </w:r>
    </w:p>
    <w:p w14:paraId="5DD7654F" w14:textId="04CA4161" w:rsidR="00ED4D46" w:rsidRPr="000F509B" w:rsidRDefault="00ED4D46" w:rsidP="00ED4D46">
      <w:pPr>
        <w:numPr>
          <w:ilvl w:val="1"/>
          <w:numId w:val="15"/>
        </w:numPr>
        <w:tabs>
          <w:tab w:val="left" w:pos="993"/>
        </w:tabs>
        <w:spacing w:line="276" w:lineRule="auto"/>
        <w:ind w:left="851" w:hanging="425"/>
        <w:jc w:val="both"/>
        <w:rPr>
          <w:rFonts w:ascii="Arial" w:hAnsi="Arial" w:cs="Arial"/>
          <w:sz w:val="22"/>
          <w:szCs w:val="22"/>
          <w:lang w:eastAsia="en-US"/>
        </w:rPr>
      </w:pPr>
      <w:r w:rsidRPr="000F509B">
        <w:rPr>
          <w:rFonts w:ascii="Arial" w:hAnsi="Arial" w:cs="Arial"/>
          <w:sz w:val="22"/>
          <w:szCs w:val="22"/>
          <w:lang w:eastAsia="en-US"/>
        </w:rPr>
        <w:t xml:space="preserve">The Committee shall, together with the </w:t>
      </w:r>
      <w:r>
        <w:rPr>
          <w:rFonts w:ascii="Arial" w:hAnsi="Arial" w:cs="Arial"/>
          <w:sz w:val="22"/>
          <w:szCs w:val="22"/>
          <w:lang w:eastAsia="en-US"/>
        </w:rPr>
        <w:t xml:space="preserve">Group HR Director, or </w:t>
      </w:r>
      <w:r w:rsidR="00F51279">
        <w:rPr>
          <w:rFonts w:ascii="Arial" w:hAnsi="Arial" w:cs="Arial"/>
          <w:sz w:val="22"/>
          <w:szCs w:val="22"/>
          <w:lang w:eastAsia="en-US"/>
        </w:rPr>
        <w:t>their</w:t>
      </w:r>
      <w:r>
        <w:rPr>
          <w:rFonts w:ascii="Arial" w:hAnsi="Arial" w:cs="Arial"/>
          <w:sz w:val="22"/>
          <w:szCs w:val="22"/>
          <w:lang w:eastAsia="en-US"/>
        </w:rPr>
        <w:t xml:space="preserve"> nominee,</w:t>
      </w:r>
      <w:r w:rsidRPr="000F509B">
        <w:rPr>
          <w:rFonts w:ascii="Arial" w:hAnsi="Arial" w:cs="Arial"/>
          <w:sz w:val="22"/>
          <w:szCs w:val="22"/>
          <w:lang w:eastAsia="en-US"/>
        </w:rPr>
        <w:t xml:space="preserve"> and the Company Secretary, ensure that provisions regarding disclosure of information, including pensions, as set out in the Large and Medium-sized Companies and Groups (Accounts and Reports) Regulations 2013 and the relevant policies and best practice as required by law are fulfilled in producing a report of the Company’s remuneration policy (subject to a binding vote every three years) and a remuneration report (subject to an advisory vote annually), which form part of the Company’s Annual Report and Accounts, be put to shareholders for approval at the Annual General Meeting. Such report shall include details of the frequency of and attendance at meetings of the Committee during the relevant year.</w:t>
      </w:r>
    </w:p>
    <w:p w14:paraId="2B5676E5" w14:textId="5E3AE002" w:rsidR="00ED4D46" w:rsidRPr="000F509B" w:rsidRDefault="00ED4D46" w:rsidP="00ED4D46">
      <w:pPr>
        <w:numPr>
          <w:ilvl w:val="1"/>
          <w:numId w:val="15"/>
        </w:numPr>
        <w:tabs>
          <w:tab w:val="left" w:pos="993"/>
        </w:tabs>
        <w:spacing w:after="100" w:afterAutospacing="1" w:line="276" w:lineRule="auto"/>
        <w:ind w:left="851" w:hanging="425"/>
        <w:jc w:val="both"/>
        <w:rPr>
          <w:rFonts w:ascii="Arial" w:hAnsi="Arial" w:cs="Arial"/>
          <w:sz w:val="22"/>
          <w:szCs w:val="22"/>
          <w:lang w:eastAsia="en-US"/>
        </w:rPr>
      </w:pPr>
      <w:r w:rsidRPr="000F509B">
        <w:rPr>
          <w:rFonts w:ascii="Arial" w:hAnsi="Arial" w:cs="Arial"/>
          <w:sz w:val="22"/>
          <w:szCs w:val="22"/>
          <w:lang w:eastAsia="en-US"/>
        </w:rPr>
        <w:t>The Chair of the Committee or, in their absence, an appointed deputy shall attend the Company's Annual General Meeting to answer shareholders' questions about the remuneration policy, the annual remuneration report and the Committee's activities.</w:t>
      </w:r>
    </w:p>
    <w:p w14:paraId="33C43D16" w14:textId="32C92430" w:rsidR="0070781C" w:rsidRPr="009C1087" w:rsidRDefault="00ED4D46" w:rsidP="009C1087">
      <w:pPr>
        <w:numPr>
          <w:ilvl w:val="1"/>
          <w:numId w:val="15"/>
        </w:numPr>
        <w:tabs>
          <w:tab w:val="left" w:pos="993"/>
        </w:tabs>
        <w:spacing w:line="276" w:lineRule="auto"/>
        <w:ind w:left="851" w:hanging="425"/>
        <w:jc w:val="both"/>
        <w:rPr>
          <w:rFonts w:ascii="Arial" w:hAnsi="Arial" w:cs="Arial"/>
          <w:sz w:val="22"/>
          <w:szCs w:val="22"/>
          <w:lang w:eastAsia="en-US"/>
        </w:rPr>
      </w:pPr>
      <w:r w:rsidRPr="000F509B">
        <w:rPr>
          <w:rFonts w:ascii="Arial" w:hAnsi="Arial" w:cs="Arial"/>
          <w:sz w:val="22"/>
          <w:szCs w:val="22"/>
          <w:lang w:eastAsia="en-US"/>
        </w:rPr>
        <w:t>Through the Chair</w:t>
      </w:r>
      <w:r w:rsidR="00F51279">
        <w:rPr>
          <w:rFonts w:ascii="Arial" w:hAnsi="Arial" w:cs="Arial"/>
          <w:sz w:val="22"/>
          <w:szCs w:val="22"/>
          <w:lang w:eastAsia="en-US"/>
        </w:rPr>
        <w:t xml:space="preserve"> </w:t>
      </w:r>
      <w:r w:rsidRPr="000F509B">
        <w:rPr>
          <w:rFonts w:ascii="Arial" w:hAnsi="Arial" w:cs="Arial"/>
          <w:sz w:val="22"/>
          <w:szCs w:val="22"/>
          <w:lang w:eastAsia="en-US"/>
        </w:rPr>
        <w:t>of the Board, ensure that the Company maintains contact as required with its principal shareholders about remuneration.</w:t>
      </w:r>
    </w:p>
    <w:p w14:paraId="0A683A87" w14:textId="77777777" w:rsidR="0070781C" w:rsidRPr="000F509B" w:rsidRDefault="0070781C" w:rsidP="00ED4D46">
      <w:pPr>
        <w:tabs>
          <w:tab w:val="left" w:pos="426"/>
          <w:tab w:val="left" w:pos="993"/>
        </w:tabs>
        <w:spacing w:line="276" w:lineRule="auto"/>
        <w:ind w:left="360"/>
        <w:jc w:val="both"/>
        <w:rPr>
          <w:rFonts w:ascii="Arial" w:hAnsi="Arial" w:cs="Arial"/>
          <w:sz w:val="22"/>
          <w:szCs w:val="22"/>
          <w:lang w:eastAsia="en-US"/>
        </w:rPr>
      </w:pPr>
    </w:p>
    <w:p w14:paraId="5B9A1619" w14:textId="77777777" w:rsidR="00ED4D46" w:rsidRPr="000F509B" w:rsidRDefault="00ED4D46" w:rsidP="00ED4D46">
      <w:pPr>
        <w:numPr>
          <w:ilvl w:val="0"/>
          <w:numId w:val="15"/>
        </w:numPr>
        <w:tabs>
          <w:tab w:val="left" w:pos="993"/>
        </w:tabs>
        <w:spacing w:line="276" w:lineRule="auto"/>
        <w:jc w:val="both"/>
        <w:rPr>
          <w:rFonts w:ascii="Arial" w:hAnsi="Arial" w:cs="Arial"/>
          <w:sz w:val="22"/>
          <w:szCs w:val="22"/>
          <w:lang w:eastAsia="en-US"/>
        </w:rPr>
      </w:pPr>
      <w:r w:rsidRPr="000F509B">
        <w:rPr>
          <w:rFonts w:ascii="Arial" w:hAnsi="Arial" w:cs="Arial"/>
          <w:b/>
          <w:sz w:val="22"/>
          <w:szCs w:val="22"/>
          <w:lang w:eastAsia="en-US"/>
        </w:rPr>
        <w:t>Annual review</w:t>
      </w:r>
    </w:p>
    <w:p w14:paraId="414E9ABE" w14:textId="77777777" w:rsidR="00ED4D46" w:rsidRPr="000F509B" w:rsidRDefault="00ED4D46" w:rsidP="00ED4D46">
      <w:pPr>
        <w:numPr>
          <w:ilvl w:val="1"/>
          <w:numId w:val="15"/>
        </w:numPr>
        <w:tabs>
          <w:tab w:val="left" w:pos="993"/>
        </w:tabs>
        <w:spacing w:line="276" w:lineRule="auto"/>
        <w:ind w:left="851" w:hanging="491"/>
        <w:jc w:val="both"/>
        <w:rPr>
          <w:rFonts w:ascii="Arial" w:hAnsi="Arial" w:cs="Arial"/>
          <w:sz w:val="22"/>
          <w:szCs w:val="22"/>
          <w:lang w:eastAsia="en-US"/>
        </w:rPr>
      </w:pPr>
      <w:r w:rsidRPr="000F509B">
        <w:rPr>
          <w:rFonts w:ascii="Arial" w:hAnsi="Arial" w:cs="Arial"/>
          <w:sz w:val="22"/>
          <w:szCs w:val="22"/>
          <w:lang w:eastAsia="en-US"/>
        </w:rPr>
        <w:t>The Committee shall at least annually review its own performance, constitution, procedures and Terms of Reference to ensure it is operating effectively and recommend any necessary changes to the Board.</w:t>
      </w:r>
    </w:p>
    <w:p w14:paraId="7F9346CF" w14:textId="77777777" w:rsidR="00ED4D46" w:rsidRPr="000F509B" w:rsidRDefault="00ED4D46" w:rsidP="00ED4D46">
      <w:pPr>
        <w:tabs>
          <w:tab w:val="left" w:pos="993"/>
        </w:tabs>
        <w:spacing w:line="276" w:lineRule="auto"/>
        <w:ind w:left="851" w:hanging="491"/>
        <w:jc w:val="both"/>
        <w:rPr>
          <w:rFonts w:ascii="Arial" w:hAnsi="Arial" w:cs="Arial"/>
          <w:sz w:val="22"/>
          <w:szCs w:val="22"/>
          <w:lang w:eastAsia="en-US"/>
        </w:rPr>
      </w:pPr>
    </w:p>
    <w:p w14:paraId="50106098" w14:textId="77777777" w:rsidR="00ED4D46" w:rsidRPr="000F509B" w:rsidRDefault="00ED4D46" w:rsidP="00ED4D46">
      <w:pPr>
        <w:numPr>
          <w:ilvl w:val="0"/>
          <w:numId w:val="15"/>
        </w:numPr>
        <w:tabs>
          <w:tab w:val="left" w:pos="993"/>
        </w:tabs>
        <w:spacing w:line="276" w:lineRule="auto"/>
        <w:ind w:left="567" w:hanging="567"/>
        <w:jc w:val="both"/>
        <w:rPr>
          <w:rFonts w:ascii="Arial" w:hAnsi="Arial" w:cs="Arial"/>
          <w:sz w:val="22"/>
          <w:szCs w:val="22"/>
          <w:lang w:eastAsia="en-US"/>
        </w:rPr>
      </w:pPr>
      <w:r w:rsidRPr="000F509B">
        <w:rPr>
          <w:rFonts w:ascii="Arial" w:hAnsi="Arial" w:cs="Arial"/>
          <w:b/>
          <w:sz w:val="22"/>
          <w:szCs w:val="22"/>
          <w:lang w:eastAsia="en-US"/>
        </w:rPr>
        <w:t>Other</w:t>
      </w:r>
    </w:p>
    <w:p w14:paraId="1F56888E" w14:textId="77777777" w:rsidR="00ED4D46" w:rsidRPr="000F509B" w:rsidRDefault="00ED4D46" w:rsidP="00ED4D46">
      <w:pPr>
        <w:tabs>
          <w:tab w:val="left" w:pos="993"/>
        </w:tabs>
        <w:spacing w:line="276" w:lineRule="auto"/>
        <w:ind w:left="426"/>
        <w:jc w:val="both"/>
        <w:rPr>
          <w:rFonts w:ascii="Arial" w:hAnsi="Arial" w:cs="Arial"/>
          <w:sz w:val="22"/>
          <w:szCs w:val="22"/>
          <w:lang w:eastAsia="en-US"/>
        </w:rPr>
      </w:pPr>
      <w:r w:rsidRPr="000F509B">
        <w:rPr>
          <w:rFonts w:ascii="Arial" w:hAnsi="Arial" w:cs="Arial"/>
          <w:sz w:val="22"/>
          <w:szCs w:val="22"/>
          <w:lang w:eastAsia="en-US"/>
        </w:rPr>
        <w:t>The Committee shall</w:t>
      </w:r>
      <w:r>
        <w:rPr>
          <w:rFonts w:ascii="Arial" w:hAnsi="Arial" w:cs="Arial"/>
          <w:sz w:val="22"/>
          <w:szCs w:val="22"/>
          <w:lang w:eastAsia="en-US"/>
        </w:rPr>
        <w:t>:</w:t>
      </w:r>
    </w:p>
    <w:p w14:paraId="55C16130" w14:textId="77777777" w:rsidR="00ED4D46" w:rsidRPr="000F509B" w:rsidRDefault="00ED4D46" w:rsidP="00ED4D46">
      <w:pPr>
        <w:numPr>
          <w:ilvl w:val="1"/>
          <w:numId w:val="6"/>
        </w:numPr>
        <w:tabs>
          <w:tab w:val="left" w:pos="993"/>
        </w:tabs>
        <w:spacing w:line="276" w:lineRule="auto"/>
        <w:ind w:left="993" w:hanging="567"/>
        <w:contextualSpacing/>
        <w:jc w:val="both"/>
        <w:rPr>
          <w:rFonts w:ascii="Arial" w:hAnsi="Arial" w:cs="Arial"/>
          <w:sz w:val="22"/>
          <w:szCs w:val="22"/>
          <w:lang w:eastAsia="en-US"/>
        </w:rPr>
      </w:pPr>
      <w:r>
        <w:rPr>
          <w:rFonts w:ascii="Arial" w:hAnsi="Arial" w:cs="Arial"/>
          <w:sz w:val="22"/>
          <w:szCs w:val="22"/>
          <w:lang w:eastAsia="en-US"/>
        </w:rPr>
        <w:t>B</w:t>
      </w:r>
      <w:r w:rsidRPr="000F509B">
        <w:rPr>
          <w:rFonts w:ascii="Arial" w:hAnsi="Arial" w:cs="Arial"/>
          <w:sz w:val="22"/>
          <w:szCs w:val="22"/>
          <w:lang w:eastAsia="en-US"/>
        </w:rPr>
        <w:t>e provided with appropriate and timely training, both in the form of an induction programme for new members and on an ongoing basis for all members; and</w:t>
      </w:r>
    </w:p>
    <w:p w14:paraId="76BA51B7" w14:textId="77777777" w:rsidR="00ED4D46" w:rsidRPr="00B022BE" w:rsidRDefault="00ED4D46" w:rsidP="00ED4D46">
      <w:pPr>
        <w:numPr>
          <w:ilvl w:val="1"/>
          <w:numId w:val="6"/>
        </w:numPr>
        <w:tabs>
          <w:tab w:val="left" w:pos="993"/>
        </w:tabs>
        <w:spacing w:line="276" w:lineRule="auto"/>
        <w:ind w:left="993" w:hanging="567"/>
        <w:contextualSpacing/>
        <w:jc w:val="both"/>
        <w:rPr>
          <w:rFonts w:ascii="Arial" w:hAnsi="Arial"/>
        </w:rPr>
      </w:pPr>
      <w:r>
        <w:rPr>
          <w:rFonts w:ascii="Arial" w:hAnsi="Arial" w:cs="Arial"/>
          <w:sz w:val="22"/>
          <w:szCs w:val="24"/>
          <w:lang w:eastAsia="en-US"/>
        </w:rPr>
        <w:t>H</w:t>
      </w:r>
      <w:r w:rsidRPr="000F509B">
        <w:rPr>
          <w:rFonts w:ascii="Arial" w:hAnsi="Arial" w:cs="Arial"/>
          <w:sz w:val="22"/>
          <w:szCs w:val="24"/>
          <w:lang w:eastAsia="en-US"/>
        </w:rPr>
        <w:t>ave access to sufficient resources in order to carry out its duties, including access to the Company Secretary for assistance as required.</w:t>
      </w:r>
    </w:p>
    <w:p w14:paraId="64DDCD2B" w14:textId="77777777" w:rsidR="00F739B4" w:rsidRPr="00B022BE" w:rsidRDefault="00F739B4" w:rsidP="00ED4D46">
      <w:pPr>
        <w:spacing w:line="276" w:lineRule="auto"/>
        <w:jc w:val="both"/>
        <w:rPr>
          <w:rFonts w:ascii="Arial" w:hAnsi="Arial"/>
        </w:rPr>
      </w:pPr>
    </w:p>
    <w:sectPr w:rsidR="00F739B4" w:rsidRPr="00B022BE" w:rsidSect="00685DFD">
      <w:headerReference w:type="default" r:id="rId8"/>
      <w:footerReference w:type="default" r:id="rId9"/>
      <w:pgSz w:w="11907" w:h="16840" w:code="9"/>
      <w:pgMar w:top="1672" w:right="1417" w:bottom="1276" w:left="1535" w:header="284"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7442" w14:textId="77777777" w:rsidR="00892130" w:rsidRPr="00E86BA3" w:rsidRDefault="00892130">
      <w:pPr>
        <w:rPr>
          <w:sz w:val="18"/>
          <w:szCs w:val="18"/>
        </w:rPr>
      </w:pPr>
      <w:r w:rsidRPr="00E86BA3">
        <w:rPr>
          <w:sz w:val="18"/>
          <w:szCs w:val="18"/>
        </w:rPr>
        <w:separator/>
      </w:r>
    </w:p>
  </w:endnote>
  <w:endnote w:type="continuationSeparator" w:id="0">
    <w:p w14:paraId="2D6070B1" w14:textId="77777777" w:rsidR="00892130" w:rsidRPr="00E86BA3" w:rsidRDefault="00892130">
      <w:pPr>
        <w:rPr>
          <w:sz w:val="18"/>
          <w:szCs w:val="18"/>
        </w:rPr>
      </w:pPr>
      <w:r w:rsidRPr="00E86BA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604243930"/>
      <w:docPartObj>
        <w:docPartGallery w:val="Page Numbers (Bottom of Page)"/>
        <w:docPartUnique/>
      </w:docPartObj>
    </w:sdtPr>
    <w:sdtEndPr>
      <w:rPr>
        <w:noProof/>
      </w:rPr>
    </w:sdtEndPr>
    <w:sdtContent>
      <w:p w14:paraId="13EF38A8" w14:textId="22FE0D6E" w:rsidR="00F11E43" w:rsidRPr="00184159" w:rsidRDefault="000D3467">
        <w:pPr>
          <w:pStyle w:val="Footer"/>
          <w:jc w:val="center"/>
          <w:rPr>
            <w:rFonts w:ascii="Arial" w:hAnsi="Arial" w:cs="Arial"/>
            <w:sz w:val="22"/>
            <w:szCs w:val="22"/>
          </w:rPr>
        </w:pPr>
        <w:r w:rsidRPr="00184159">
          <w:rPr>
            <w:rFonts w:ascii="Arial" w:hAnsi="Arial" w:cs="Arial"/>
            <w:sz w:val="22"/>
            <w:szCs w:val="22"/>
          </w:rPr>
          <w:fldChar w:fldCharType="begin"/>
        </w:r>
        <w:r w:rsidR="00F11E43" w:rsidRPr="00184159">
          <w:rPr>
            <w:rFonts w:ascii="Arial" w:hAnsi="Arial" w:cs="Arial"/>
            <w:sz w:val="22"/>
            <w:szCs w:val="22"/>
          </w:rPr>
          <w:instrText xml:space="preserve"> PAGE   \* MERGEFORMAT </w:instrText>
        </w:r>
        <w:r w:rsidRPr="00184159">
          <w:rPr>
            <w:rFonts w:ascii="Arial" w:hAnsi="Arial" w:cs="Arial"/>
            <w:sz w:val="22"/>
            <w:szCs w:val="22"/>
          </w:rPr>
          <w:fldChar w:fldCharType="separate"/>
        </w:r>
        <w:r w:rsidR="009C057B">
          <w:rPr>
            <w:rFonts w:ascii="Arial" w:hAnsi="Arial" w:cs="Arial"/>
            <w:noProof/>
            <w:sz w:val="22"/>
            <w:szCs w:val="22"/>
          </w:rPr>
          <w:t>1</w:t>
        </w:r>
        <w:r w:rsidRPr="00184159">
          <w:rPr>
            <w:rFonts w:ascii="Arial" w:hAnsi="Arial" w:cs="Arial"/>
            <w:noProof/>
            <w:sz w:val="22"/>
            <w:szCs w:val="22"/>
          </w:rPr>
          <w:fldChar w:fldCharType="end"/>
        </w:r>
      </w:p>
    </w:sdtContent>
  </w:sdt>
  <w:p w14:paraId="5B5D4817" w14:textId="77777777" w:rsidR="00530695" w:rsidRDefault="0053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7D47" w14:textId="77777777" w:rsidR="00892130" w:rsidRPr="00E86BA3" w:rsidRDefault="00892130">
      <w:pPr>
        <w:rPr>
          <w:sz w:val="18"/>
          <w:szCs w:val="18"/>
        </w:rPr>
      </w:pPr>
      <w:r w:rsidRPr="00E86BA3">
        <w:rPr>
          <w:sz w:val="18"/>
          <w:szCs w:val="18"/>
        </w:rPr>
        <w:separator/>
      </w:r>
    </w:p>
  </w:footnote>
  <w:footnote w:type="continuationSeparator" w:id="0">
    <w:p w14:paraId="653153B7" w14:textId="77777777" w:rsidR="00892130" w:rsidRPr="00E86BA3" w:rsidRDefault="00892130">
      <w:pPr>
        <w:rPr>
          <w:sz w:val="18"/>
          <w:szCs w:val="18"/>
        </w:rPr>
      </w:pPr>
      <w:r w:rsidRPr="00E86BA3">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75A0" w14:textId="77777777" w:rsidR="00DB752A" w:rsidRDefault="00530695" w:rsidP="00D24859">
    <w:pPr>
      <w:pStyle w:val="Header"/>
      <w:pBdr>
        <w:bottom w:val="single" w:sz="4" w:space="1" w:color="auto"/>
      </w:pBdr>
      <w:ind w:left="-851"/>
      <w:rPr>
        <w:rFonts w:ascii="Arial" w:hAnsi="Arial"/>
        <w:b/>
        <w:color w:val="000080"/>
        <w:sz w:val="22"/>
        <w:szCs w:val="22"/>
      </w:rPr>
    </w:pPr>
    <w:r w:rsidRPr="0067114A">
      <w:rPr>
        <w:rFonts w:ascii="Arial" w:hAnsi="Arial"/>
        <w:b/>
        <w:noProof/>
        <w:color w:val="000080"/>
        <w:sz w:val="22"/>
        <w:szCs w:val="22"/>
      </w:rPr>
      <w:drawing>
        <wp:inline distT="0" distB="0" distL="0" distR="0" wp14:anchorId="4C4C1050" wp14:editId="1D1ABB96">
          <wp:extent cx="1348575" cy="579860"/>
          <wp:effectExtent l="19050" t="0" r="3975" b="0"/>
          <wp:docPr id="3" name="Picture 3" descr="http://dlvcimm-web01/DsgRetail/images/DixonsCarphoneLogo_Master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lvcimm-web01/DsgRetail/images/DixonsCarphoneLogo_Master_RGB2.jpg"/>
                  <pic:cNvPicPr>
                    <a:picLocks noChangeAspect="1" noChangeArrowheads="1"/>
                  </pic:cNvPicPr>
                </pic:nvPicPr>
                <pic:blipFill>
                  <a:blip r:embed="rId1"/>
                  <a:srcRect/>
                  <a:stretch>
                    <a:fillRect/>
                  </a:stretch>
                </pic:blipFill>
                <pic:spPr bwMode="auto">
                  <a:xfrm>
                    <a:off x="0" y="0"/>
                    <a:ext cx="1351372" cy="581063"/>
                  </a:xfrm>
                  <a:prstGeom prst="rect">
                    <a:avLst/>
                  </a:prstGeom>
                  <a:noFill/>
                  <a:ln w="9525">
                    <a:noFill/>
                    <a:miter lim="800000"/>
                    <a:headEnd/>
                    <a:tailEnd/>
                  </a:ln>
                </pic:spPr>
              </pic:pic>
            </a:graphicData>
          </a:graphic>
        </wp:inline>
      </w:drawing>
    </w:r>
    <w:r>
      <w:rPr>
        <w:rFonts w:ascii="Arial" w:hAnsi="Arial"/>
        <w:b/>
        <w:color w:val="000080"/>
        <w:sz w:val="22"/>
        <w:szCs w:val="22"/>
      </w:rPr>
      <w:t xml:space="preserve">       </w:t>
    </w:r>
  </w:p>
  <w:p w14:paraId="29563BB7" w14:textId="77777777" w:rsidR="00530695" w:rsidRPr="00E86BA3" w:rsidRDefault="00530695" w:rsidP="00D24859">
    <w:pPr>
      <w:pStyle w:val="Header"/>
      <w:pBdr>
        <w:bottom w:val="single" w:sz="4" w:space="1" w:color="auto"/>
      </w:pBdr>
      <w:ind w:left="-851"/>
      <w:rPr>
        <w:rFonts w:ascii="Arial" w:hAnsi="Arial"/>
        <w:b/>
        <w:color w:val="000080"/>
        <w:sz w:val="22"/>
        <w:szCs w:val="22"/>
      </w:rPr>
    </w:pPr>
    <w:r>
      <w:rPr>
        <w:rFonts w:ascii="Arial" w:hAnsi="Arial"/>
        <w:b/>
        <w:color w:val="000080"/>
        <w:sz w:val="22"/>
        <w:szCs w:val="22"/>
      </w:rPr>
      <w:tab/>
    </w:r>
    <w:r>
      <w:rPr>
        <w:rFonts w:ascii="Arial" w:hAnsi="Arial"/>
        <w:b/>
        <w:color w:val="000080"/>
        <w:sz w:val="22"/>
        <w:szCs w:val="22"/>
      </w:rPr>
      <w:tab/>
    </w:r>
    <w:r>
      <w:rPr>
        <w:rFonts w:ascii="Arial" w:hAnsi="Arial"/>
        <w:b/>
        <w:color w:val="00008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B09"/>
    <w:multiLevelType w:val="hybridMultilevel"/>
    <w:tmpl w:val="AAA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2573"/>
    <w:multiLevelType w:val="hybridMultilevel"/>
    <w:tmpl w:val="C3B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01A1"/>
    <w:multiLevelType w:val="hybridMultilevel"/>
    <w:tmpl w:val="332206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DC574D"/>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80565EB"/>
    <w:multiLevelType w:val="multilevel"/>
    <w:tmpl w:val="4B36D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6513F6"/>
    <w:multiLevelType w:val="hybridMultilevel"/>
    <w:tmpl w:val="631EFA30"/>
    <w:lvl w:ilvl="0" w:tplc="1E9464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C36CF"/>
    <w:multiLevelType w:val="multilevel"/>
    <w:tmpl w:val="CE8ED2C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BF52EDE"/>
    <w:multiLevelType w:val="multilevel"/>
    <w:tmpl w:val="AB2E7CFC"/>
    <w:lvl w:ilvl="0">
      <w:start w:val="1"/>
      <w:numFmt w:val="decimal"/>
      <w:lvlText w:val="%1."/>
      <w:lvlJc w:val="left"/>
      <w:pPr>
        <w:ind w:left="1778" w:hanging="360"/>
      </w:pPr>
    </w:lvl>
    <w:lvl w:ilvl="1">
      <w:start w:val="1"/>
      <w:numFmt w:val="decimal"/>
      <w:isLgl/>
      <w:lvlText w:val="%1.%2"/>
      <w:lvlJc w:val="left"/>
      <w:pPr>
        <w:ind w:left="1862" w:hanging="510"/>
      </w:pPr>
      <w:rPr>
        <w:rFonts w:ascii="Arial" w:hAnsi="Arial" w:cs="Arial" w:hint="default"/>
        <w:sz w:val="22"/>
        <w:szCs w:val="22"/>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8" w15:restartNumberingAfterBreak="0">
    <w:nsid w:val="509360CC"/>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5CF2FC5"/>
    <w:multiLevelType w:val="multilevel"/>
    <w:tmpl w:val="A87874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D510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5E2587"/>
    <w:multiLevelType w:val="hybridMultilevel"/>
    <w:tmpl w:val="E55C818C"/>
    <w:lvl w:ilvl="0" w:tplc="B142D89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B381912"/>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0082C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DB4D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002CE9"/>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D4467BB"/>
    <w:multiLevelType w:val="hybridMultilevel"/>
    <w:tmpl w:val="32AAEEE2"/>
    <w:lvl w:ilvl="0" w:tplc="B7B8C082">
      <w:start w:val="27"/>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3"/>
  </w:num>
  <w:num w:numId="5">
    <w:abstractNumId w:val="12"/>
  </w:num>
  <w:num w:numId="6">
    <w:abstractNumId w:val="6"/>
  </w:num>
  <w:num w:numId="7">
    <w:abstractNumId w:val="11"/>
  </w:num>
  <w:num w:numId="8">
    <w:abstractNumId w:val="2"/>
  </w:num>
  <w:num w:numId="9">
    <w:abstractNumId w:val="3"/>
  </w:num>
  <w:num w:numId="10">
    <w:abstractNumId w:val="5"/>
  </w:num>
  <w:num w:numId="11">
    <w:abstractNumId w:val="0"/>
  </w:num>
  <w:num w:numId="12">
    <w:abstractNumId w:val="9"/>
  </w:num>
  <w:num w:numId="13">
    <w:abstractNumId w:val="4"/>
  </w:num>
  <w:num w:numId="14">
    <w:abstractNumId w:val="8"/>
  </w:num>
  <w:num w:numId="15">
    <w:abstractNumId w:val="15"/>
  </w:num>
  <w:num w:numId="16">
    <w:abstractNumId w:val="16"/>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70"/>
    <w:rsid w:val="00014ABD"/>
    <w:rsid w:val="00017C72"/>
    <w:rsid w:val="000210C8"/>
    <w:rsid w:val="00024F03"/>
    <w:rsid w:val="000256C7"/>
    <w:rsid w:val="000335AE"/>
    <w:rsid w:val="00060D09"/>
    <w:rsid w:val="00062840"/>
    <w:rsid w:val="00074C6D"/>
    <w:rsid w:val="00081B14"/>
    <w:rsid w:val="00082EC3"/>
    <w:rsid w:val="0009343B"/>
    <w:rsid w:val="000937BC"/>
    <w:rsid w:val="000C09C8"/>
    <w:rsid w:val="000D3467"/>
    <w:rsid w:val="000D48F3"/>
    <w:rsid w:val="000E5267"/>
    <w:rsid w:val="000F219B"/>
    <w:rsid w:val="000F509B"/>
    <w:rsid w:val="001018C3"/>
    <w:rsid w:val="00104EDF"/>
    <w:rsid w:val="0010750E"/>
    <w:rsid w:val="00114A34"/>
    <w:rsid w:val="001213A7"/>
    <w:rsid w:val="00135C35"/>
    <w:rsid w:val="0014781E"/>
    <w:rsid w:val="001521A6"/>
    <w:rsid w:val="00162983"/>
    <w:rsid w:val="0016342F"/>
    <w:rsid w:val="00175902"/>
    <w:rsid w:val="00182EC6"/>
    <w:rsid w:val="00184159"/>
    <w:rsid w:val="00190D0C"/>
    <w:rsid w:val="001927C1"/>
    <w:rsid w:val="0019286C"/>
    <w:rsid w:val="00192D02"/>
    <w:rsid w:val="001B14B5"/>
    <w:rsid w:val="001B7865"/>
    <w:rsid w:val="001B7C6E"/>
    <w:rsid w:val="001C2948"/>
    <w:rsid w:val="001C4E39"/>
    <w:rsid w:val="001D272B"/>
    <w:rsid w:val="001E779C"/>
    <w:rsid w:val="001E7DE1"/>
    <w:rsid w:val="001F06C0"/>
    <w:rsid w:val="001F3694"/>
    <w:rsid w:val="001F7275"/>
    <w:rsid w:val="00201F4C"/>
    <w:rsid w:val="00203997"/>
    <w:rsid w:val="00212C1C"/>
    <w:rsid w:val="0024303A"/>
    <w:rsid w:val="00251732"/>
    <w:rsid w:val="00271AB5"/>
    <w:rsid w:val="002730C7"/>
    <w:rsid w:val="00295B3F"/>
    <w:rsid w:val="002A05D7"/>
    <w:rsid w:val="002B392D"/>
    <w:rsid w:val="002B561E"/>
    <w:rsid w:val="002C10DB"/>
    <w:rsid w:val="002D24CE"/>
    <w:rsid w:val="002E77EC"/>
    <w:rsid w:val="002F2962"/>
    <w:rsid w:val="003002E8"/>
    <w:rsid w:val="003062C7"/>
    <w:rsid w:val="00335E8D"/>
    <w:rsid w:val="00341A31"/>
    <w:rsid w:val="00354CC5"/>
    <w:rsid w:val="003668B0"/>
    <w:rsid w:val="0037098E"/>
    <w:rsid w:val="00370D67"/>
    <w:rsid w:val="0038226D"/>
    <w:rsid w:val="00385B09"/>
    <w:rsid w:val="003A7910"/>
    <w:rsid w:val="003B75FF"/>
    <w:rsid w:val="003B7CDA"/>
    <w:rsid w:val="003C58BE"/>
    <w:rsid w:val="003D25D2"/>
    <w:rsid w:val="003D72A7"/>
    <w:rsid w:val="003D73E2"/>
    <w:rsid w:val="003E0E78"/>
    <w:rsid w:val="003F60F4"/>
    <w:rsid w:val="004071C0"/>
    <w:rsid w:val="00426CC6"/>
    <w:rsid w:val="00434A4D"/>
    <w:rsid w:val="00440F7E"/>
    <w:rsid w:val="00447A38"/>
    <w:rsid w:val="0045439B"/>
    <w:rsid w:val="00456F8D"/>
    <w:rsid w:val="004600DB"/>
    <w:rsid w:val="00460800"/>
    <w:rsid w:val="004710F6"/>
    <w:rsid w:val="004712DB"/>
    <w:rsid w:val="00471ADE"/>
    <w:rsid w:val="00474721"/>
    <w:rsid w:val="00484E99"/>
    <w:rsid w:val="00484EE2"/>
    <w:rsid w:val="004901F2"/>
    <w:rsid w:val="00492C33"/>
    <w:rsid w:val="004A01EC"/>
    <w:rsid w:val="004C28B5"/>
    <w:rsid w:val="004D3748"/>
    <w:rsid w:val="004D4551"/>
    <w:rsid w:val="004E5759"/>
    <w:rsid w:val="00510AE4"/>
    <w:rsid w:val="00513F32"/>
    <w:rsid w:val="00530695"/>
    <w:rsid w:val="00542D31"/>
    <w:rsid w:val="00561431"/>
    <w:rsid w:val="005733E1"/>
    <w:rsid w:val="00597EAD"/>
    <w:rsid w:val="005B0C8A"/>
    <w:rsid w:val="005B1245"/>
    <w:rsid w:val="005B227A"/>
    <w:rsid w:val="005B4DB3"/>
    <w:rsid w:val="005B6BE4"/>
    <w:rsid w:val="005C1E96"/>
    <w:rsid w:val="005C53A0"/>
    <w:rsid w:val="005C67D4"/>
    <w:rsid w:val="005D4EE4"/>
    <w:rsid w:val="005E11CA"/>
    <w:rsid w:val="005E191F"/>
    <w:rsid w:val="005F01C5"/>
    <w:rsid w:val="005F3FDB"/>
    <w:rsid w:val="005F7774"/>
    <w:rsid w:val="00600712"/>
    <w:rsid w:val="00604CD2"/>
    <w:rsid w:val="0061481A"/>
    <w:rsid w:val="0062694D"/>
    <w:rsid w:val="00631AC8"/>
    <w:rsid w:val="006437A2"/>
    <w:rsid w:val="006536F5"/>
    <w:rsid w:val="006556E3"/>
    <w:rsid w:val="00660EDC"/>
    <w:rsid w:val="006672AD"/>
    <w:rsid w:val="00667CA6"/>
    <w:rsid w:val="0067114A"/>
    <w:rsid w:val="00674DCC"/>
    <w:rsid w:val="00683258"/>
    <w:rsid w:val="00685DFD"/>
    <w:rsid w:val="006D152E"/>
    <w:rsid w:val="006E0FE7"/>
    <w:rsid w:val="006E1741"/>
    <w:rsid w:val="007039FB"/>
    <w:rsid w:val="0070781C"/>
    <w:rsid w:val="00717B31"/>
    <w:rsid w:val="007326CC"/>
    <w:rsid w:val="00743A53"/>
    <w:rsid w:val="007617E7"/>
    <w:rsid w:val="00763064"/>
    <w:rsid w:val="00763C25"/>
    <w:rsid w:val="00766477"/>
    <w:rsid w:val="007750DD"/>
    <w:rsid w:val="0078093F"/>
    <w:rsid w:val="00785735"/>
    <w:rsid w:val="00797406"/>
    <w:rsid w:val="007A21E1"/>
    <w:rsid w:val="007A6467"/>
    <w:rsid w:val="007B031E"/>
    <w:rsid w:val="007B1EE7"/>
    <w:rsid w:val="007B31F7"/>
    <w:rsid w:val="007B3B48"/>
    <w:rsid w:val="007C0D4E"/>
    <w:rsid w:val="007D4D2F"/>
    <w:rsid w:val="007E1DF0"/>
    <w:rsid w:val="007E645F"/>
    <w:rsid w:val="007F3C52"/>
    <w:rsid w:val="00805C17"/>
    <w:rsid w:val="0080630A"/>
    <w:rsid w:val="00806842"/>
    <w:rsid w:val="00811FFA"/>
    <w:rsid w:val="0081324F"/>
    <w:rsid w:val="00813920"/>
    <w:rsid w:val="00817613"/>
    <w:rsid w:val="00824A79"/>
    <w:rsid w:val="00825FAC"/>
    <w:rsid w:val="00826970"/>
    <w:rsid w:val="00846DD0"/>
    <w:rsid w:val="00850974"/>
    <w:rsid w:val="00862019"/>
    <w:rsid w:val="00862962"/>
    <w:rsid w:val="0086562F"/>
    <w:rsid w:val="00880640"/>
    <w:rsid w:val="00885E27"/>
    <w:rsid w:val="00892130"/>
    <w:rsid w:val="0089274F"/>
    <w:rsid w:val="00894492"/>
    <w:rsid w:val="00895652"/>
    <w:rsid w:val="008D6145"/>
    <w:rsid w:val="008E11BD"/>
    <w:rsid w:val="008E24BA"/>
    <w:rsid w:val="008E474F"/>
    <w:rsid w:val="008E50DA"/>
    <w:rsid w:val="008F4AA8"/>
    <w:rsid w:val="008F6E60"/>
    <w:rsid w:val="00910122"/>
    <w:rsid w:val="0092156A"/>
    <w:rsid w:val="009224BC"/>
    <w:rsid w:val="00941E5B"/>
    <w:rsid w:val="00943E6D"/>
    <w:rsid w:val="00954752"/>
    <w:rsid w:val="0096126E"/>
    <w:rsid w:val="00972276"/>
    <w:rsid w:val="009752EC"/>
    <w:rsid w:val="00976196"/>
    <w:rsid w:val="009907A4"/>
    <w:rsid w:val="009966AA"/>
    <w:rsid w:val="00996D53"/>
    <w:rsid w:val="009B5936"/>
    <w:rsid w:val="009C057B"/>
    <w:rsid w:val="009C1087"/>
    <w:rsid w:val="009C302D"/>
    <w:rsid w:val="009C5080"/>
    <w:rsid w:val="009C5CEE"/>
    <w:rsid w:val="009C7BE5"/>
    <w:rsid w:val="009D099E"/>
    <w:rsid w:val="009D0E92"/>
    <w:rsid w:val="009D602A"/>
    <w:rsid w:val="009E48E2"/>
    <w:rsid w:val="009E515B"/>
    <w:rsid w:val="00A06713"/>
    <w:rsid w:val="00A23A6C"/>
    <w:rsid w:val="00A42645"/>
    <w:rsid w:val="00A60D71"/>
    <w:rsid w:val="00A645AA"/>
    <w:rsid w:val="00A65055"/>
    <w:rsid w:val="00A66190"/>
    <w:rsid w:val="00A73085"/>
    <w:rsid w:val="00A839AB"/>
    <w:rsid w:val="00A92D15"/>
    <w:rsid w:val="00AA0259"/>
    <w:rsid w:val="00AA629D"/>
    <w:rsid w:val="00AC2600"/>
    <w:rsid w:val="00AC4BF1"/>
    <w:rsid w:val="00AE29B1"/>
    <w:rsid w:val="00B022BE"/>
    <w:rsid w:val="00B04D5F"/>
    <w:rsid w:val="00B11175"/>
    <w:rsid w:val="00B23E4D"/>
    <w:rsid w:val="00B37109"/>
    <w:rsid w:val="00B44ECA"/>
    <w:rsid w:val="00B63D2A"/>
    <w:rsid w:val="00B64F8B"/>
    <w:rsid w:val="00B67437"/>
    <w:rsid w:val="00B709C8"/>
    <w:rsid w:val="00B71796"/>
    <w:rsid w:val="00B71C41"/>
    <w:rsid w:val="00B72EC7"/>
    <w:rsid w:val="00B775E7"/>
    <w:rsid w:val="00BB142D"/>
    <w:rsid w:val="00BB49BD"/>
    <w:rsid w:val="00BC546F"/>
    <w:rsid w:val="00BD0CB3"/>
    <w:rsid w:val="00BD0FE3"/>
    <w:rsid w:val="00BE0C4E"/>
    <w:rsid w:val="00BE2634"/>
    <w:rsid w:val="00BE7707"/>
    <w:rsid w:val="00BF0345"/>
    <w:rsid w:val="00C07B85"/>
    <w:rsid w:val="00C24DA9"/>
    <w:rsid w:val="00C255B2"/>
    <w:rsid w:val="00C263FB"/>
    <w:rsid w:val="00C42FEF"/>
    <w:rsid w:val="00C61841"/>
    <w:rsid w:val="00C6550A"/>
    <w:rsid w:val="00C74EE0"/>
    <w:rsid w:val="00C802E8"/>
    <w:rsid w:val="00C8176A"/>
    <w:rsid w:val="00C81AF9"/>
    <w:rsid w:val="00C875D9"/>
    <w:rsid w:val="00C95A47"/>
    <w:rsid w:val="00CA7FF7"/>
    <w:rsid w:val="00CB20E3"/>
    <w:rsid w:val="00CC3756"/>
    <w:rsid w:val="00CD4DE9"/>
    <w:rsid w:val="00CD7CAC"/>
    <w:rsid w:val="00CE0696"/>
    <w:rsid w:val="00CE3B14"/>
    <w:rsid w:val="00CF1BE4"/>
    <w:rsid w:val="00D02679"/>
    <w:rsid w:val="00D04DD5"/>
    <w:rsid w:val="00D11DF9"/>
    <w:rsid w:val="00D221A0"/>
    <w:rsid w:val="00D24859"/>
    <w:rsid w:val="00D278CB"/>
    <w:rsid w:val="00D46246"/>
    <w:rsid w:val="00D51BEE"/>
    <w:rsid w:val="00D540D9"/>
    <w:rsid w:val="00D545C7"/>
    <w:rsid w:val="00D710A3"/>
    <w:rsid w:val="00DA4465"/>
    <w:rsid w:val="00DB0AA1"/>
    <w:rsid w:val="00DB752A"/>
    <w:rsid w:val="00DC276A"/>
    <w:rsid w:val="00DE244C"/>
    <w:rsid w:val="00E22457"/>
    <w:rsid w:val="00E46D69"/>
    <w:rsid w:val="00E54AD4"/>
    <w:rsid w:val="00E57438"/>
    <w:rsid w:val="00E67F7A"/>
    <w:rsid w:val="00E720BC"/>
    <w:rsid w:val="00E757D6"/>
    <w:rsid w:val="00E77587"/>
    <w:rsid w:val="00E819EE"/>
    <w:rsid w:val="00E837D4"/>
    <w:rsid w:val="00E86BA3"/>
    <w:rsid w:val="00EA090D"/>
    <w:rsid w:val="00EA6F37"/>
    <w:rsid w:val="00EC0B53"/>
    <w:rsid w:val="00EC2F58"/>
    <w:rsid w:val="00EC5499"/>
    <w:rsid w:val="00ED1EA2"/>
    <w:rsid w:val="00ED4D46"/>
    <w:rsid w:val="00EE247F"/>
    <w:rsid w:val="00EE42D1"/>
    <w:rsid w:val="00EE5AE9"/>
    <w:rsid w:val="00EF30E0"/>
    <w:rsid w:val="00EF43E1"/>
    <w:rsid w:val="00EF7A0E"/>
    <w:rsid w:val="00F03233"/>
    <w:rsid w:val="00F11E43"/>
    <w:rsid w:val="00F1430B"/>
    <w:rsid w:val="00F17346"/>
    <w:rsid w:val="00F21EB4"/>
    <w:rsid w:val="00F22450"/>
    <w:rsid w:val="00F23BF2"/>
    <w:rsid w:val="00F24FBA"/>
    <w:rsid w:val="00F3130F"/>
    <w:rsid w:val="00F34714"/>
    <w:rsid w:val="00F47F0B"/>
    <w:rsid w:val="00F51279"/>
    <w:rsid w:val="00F61AD8"/>
    <w:rsid w:val="00F63AD4"/>
    <w:rsid w:val="00F64F6A"/>
    <w:rsid w:val="00F739B4"/>
    <w:rsid w:val="00F74CEA"/>
    <w:rsid w:val="00F94D3A"/>
    <w:rsid w:val="00FA6682"/>
    <w:rsid w:val="00FB0156"/>
    <w:rsid w:val="00FE2486"/>
    <w:rsid w:val="00FE302F"/>
    <w:rsid w:val="00FE3B17"/>
    <w:rsid w:val="00FE3BF2"/>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3D4D11"/>
  <w15:docId w15:val="{B851E493-5DF3-4EBF-89AB-47780A11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CC"/>
  </w:style>
  <w:style w:type="paragraph" w:styleId="Heading1">
    <w:name w:val="heading 1"/>
    <w:basedOn w:val="Normal"/>
    <w:next w:val="Normal"/>
    <w:qFormat/>
    <w:rsid w:val="007326CC"/>
    <w:pPr>
      <w:keepNext/>
      <w:outlineLvl w:val="0"/>
    </w:pPr>
    <w:rPr>
      <w:rFonts w:ascii="Arial" w:hAnsi="Arial"/>
      <w:sz w:val="24"/>
    </w:rPr>
  </w:style>
  <w:style w:type="paragraph" w:styleId="Heading2">
    <w:name w:val="heading 2"/>
    <w:basedOn w:val="Normal"/>
    <w:next w:val="Normal"/>
    <w:qFormat/>
    <w:rsid w:val="007326CC"/>
    <w:pPr>
      <w:keepNext/>
      <w:spacing w:before="60" w:after="60"/>
      <w:jc w:val="center"/>
      <w:outlineLvl w:val="1"/>
    </w:pPr>
    <w:rPr>
      <w:rFonts w:ascii="Arial" w:hAnsi="Arial"/>
      <w:b/>
      <w:sz w:val="22"/>
    </w:rPr>
  </w:style>
  <w:style w:type="paragraph" w:styleId="Heading3">
    <w:name w:val="heading 3"/>
    <w:basedOn w:val="Normal"/>
    <w:next w:val="Normal"/>
    <w:link w:val="Heading3Char"/>
    <w:qFormat/>
    <w:rsid w:val="007326CC"/>
    <w:pPr>
      <w:keepNext/>
      <w:spacing w:before="60" w:after="60"/>
      <w:outlineLvl w:val="2"/>
    </w:pPr>
    <w:rPr>
      <w:rFonts w:ascii="Arial" w:hAnsi="Arial"/>
      <w:b/>
    </w:rPr>
  </w:style>
  <w:style w:type="paragraph" w:styleId="Heading4">
    <w:name w:val="heading 4"/>
    <w:basedOn w:val="Normal"/>
    <w:next w:val="Normal"/>
    <w:qFormat/>
    <w:rsid w:val="007326CC"/>
    <w:pPr>
      <w:keepNext/>
      <w:spacing w:before="6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6CC"/>
    <w:pPr>
      <w:tabs>
        <w:tab w:val="center" w:pos="4153"/>
        <w:tab w:val="right" w:pos="8306"/>
      </w:tabs>
    </w:pPr>
  </w:style>
  <w:style w:type="paragraph" w:styleId="Footer">
    <w:name w:val="footer"/>
    <w:basedOn w:val="Normal"/>
    <w:link w:val="FooterChar"/>
    <w:uiPriority w:val="99"/>
    <w:rsid w:val="007326CC"/>
    <w:pPr>
      <w:tabs>
        <w:tab w:val="center" w:pos="4153"/>
        <w:tab w:val="right" w:pos="8306"/>
      </w:tabs>
    </w:pPr>
  </w:style>
  <w:style w:type="character" w:styleId="PageNumber">
    <w:name w:val="page number"/>
    <w:basedOn w:val="DefaultParagraphFont"/>
    <w:semiHidden/>
    <w:rsid w:val="007326CC"/>
  </w:style>
  <w:style w:type="paragraph" w:styleId="BalloonText">
    <w:name w:val="Balloon Text"/>
    <w:basedOn w:val="Normal"/>
    <w:link w:val="BalloonTextChar"/>
    <w:uiPriority w:val="99"/>
    <w:semiHidden/>
    <w:unhideWhenUsed/>
    <w:rsid w:val="005733E1"/>
    <w:rPr>
      <w:rFonts w:ascii="Tahoma" w:hAnsi="Tahoma" w:cs="Tahoma"/>
      <w:sz w:val="16"/>
      <w:szCs w:val="16"/>
    </w:rPr>
  </w:style>
  <w:style w:type="character" w:customStyle="1" w:styleId="BalloonTextChar">
    <w:name w:val="Balloon Text Char"/>
    <w:basedOn w:val="DefaultParagraphFont"/>
    <w:link w:val="BalloonText"/>
    <w:uiPriority w:val="99"/>
    <w:semiHidden/>
    <w:rsid w:val="005733E1"/>
    <w:rPr>
      <w:rFonts w:ascii="Tahoma" w:hAnsi="Tahoma" w:cs="Tahoma"/>
      <w:sz w:val="16"/>
      <w:szCs w:val="16"/>
    </w:rPr>
  </w:style>
  <w:style w:type="character" w:styleId="CommentReference">
    <w:name w:val="annotation reference"/>
    <w:basedOn w:val="DefaultParagraphFont"/>
    <w:uiPriority w:val="99"/>
    <w:semiHidden/>
    <w:unhideWhenUsed/>
    <w:rsid w:val="00A645AA"/>
    <w:rPr>
      <w:sz w:val="16"/>
      <w:szCs w:val="16"/>
    </w:rPr>
  </w:style>
  <w:style w:type="paragraph" w:styleId="CommentText">
    <w:name w:val="annotation text"/>
    <w:basedOn w:val="Normal"/>
    <w:link w:val="CommentTextChar"/>
    <w:uiPriority w:val="99"/>
    <w:semiHidden/>
    <w:unhideWhenUsed/>
    <w:rsid w:val="00A645AA"/>
  </w:style>
  <w:style w:type="character" w:customStyle="1" w:styleId="CommentTextChar">
    <w:name w:val="Comment Text Char"/>
    <w:basedOn w:val="DefaultParagraphFont"/>
    <w:link w:val="CommentText"/>
    <w:uiPriority w:val="99"/>
    <w:semiHidden/>
    <w:rsid w:val="00A645AA"/>
  </w:style>
  <w:style w:type="paragraph" w:styleId="CommentSubject">
    <w:name w:val="annotation subject"/>
    <w:basedOn w:val="CommentText"/>
    <w:next w:val="CommentText"/>
    <w:link w:val="CommentSubjectChar"/>
    <w:uiPriority w:val="99"/>
    <w:semiHidden/>
    <w:unhideWhenUsed/>
    <w:rsid w:val="00A645AA"/>
    <w:rPr>
      <w:b/>
      <w:bCs/>
    </w:rPr>
  </w:style>
  <w:style w:type="character" w:customStyle="1" w:styleId="CommentSubjectChar">
    <w:name w:val="Comment Subject Char"/>
    <w:basedOn w:val="CommentTextChar"/>
    <w:link w:val="CommentSubject"/>
    <w:uiPriority w:val="99"/>
    <w:semiHidden/>
    <w:rsid w:val="00A645AA"/>
    <w:rPr>
      <w:b/>
      <w:bCs/>
    </w:rPr>
  </w:style>
  <w:style w:type="paragraph" w:styleId="ListParagraph">
    <w:name w:val="List Paragraph"/>
    <w:basedOn w:val="Normal"/>
    <w:uiPriority w:val="34"/>
    <w:qFormat/>
    <w:rsid w:val="00885E27"/>
    <w:pPr>
      <w:ind w:left="720"/>
      <w:contextualSpacing/>
    </w:pPr>
  </w:style>
  <w:style w:type="character" w:customStyle="1" w:styleId="Heading3Char">
    <w:name w:val="Heading 3 Char"/>
    <w:basedOn w:val="DefaultParagraphFont"/>
    <w:link w:val="Heading3"/>
    <w:rsid w:val="00885E27"/>
    <w:rPr>
      <w:rFonts w:ascii="Arial" w:hAnsi="Arial"/>
      <w:b/>
    </w:rPr>
  </w:style>
  <w:style w:type="character" w:customStyle="1" w:styleId="HeaderChar">
    <w:name w:val="Header Char"/>
    <w:basedOn w:val="DefaultParagraphFont"/>
    <w:link w:val="Header"/>
    <w:semiHidden/>
    <w:rsid w:val="00885E27"/>
  </w:style>
  <w:style w:type="table" w:styleId="TableGrid">
    <w:name w:val="Table Grid"/>
    <w:basedOn w:val="TableNormal"/>
    <w:uiPriority w:val="39"/>
    <w:rsid w:val="0079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1EB4"/>
  </w:style>
  <w:style w:type="paragraph" w:customStyle="1" w:styleId="Default">
    <w:name w:val="Default"/>
    <w:rsid w:val="00B04D5F"/>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A06713"/>
    <w:pPr>
      <w:jc w:val="center"/>
    </w:pPr>
    <w:rPr>
      <w:rFonts w:ascii="Arial" w:hAnsi="Arial"/>
      <w:b/>
      <w:bCs/>
      <w:sz w:val="28"/>
      <w:szCs w:val="24"/>
      <w:lang w:eastAsia="en-US"/>
    </w:rPr>
  </w:style>
  <w:style w:type="character" w:customStyle="1" w:styleId="TitleChar">
    <w:name w:val="Title Char"/>
    <w:basedOn w:val="DefaultParagraphFont"/>
    <w:link w:val="Title"/>
    <w:rsid w:val="00A06713"/>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6307">
      <w:bodyDiv w:val="1"/>
      <w:marLeft w:val="0"/>
      <w:marRight w:val="0"/>
      <w:marTop w:val="0"/>
      <w:marBottom w:val="0"/>
      <w:divBdr>
        <w:top w:val="none" w:sz="0" w:space="0" w:color="auto"/>
        <w:left w:val="none" w:sz="0" w:space="0" w:color="auto"/>
        <w:bottom w:val="none" w:sz="0" w:space="0" w:color="auto"/>
        <w:right w:val="none" w:sz="0" w:space="0" w:color="auto"/>
      </w:divBdr>
    </w:div>
    <w:div w:id="1698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0840D-1C3F-4A8D-B6E0-0F3606AE6753}">
  <ds:schemaRefs>
    <ds:schemaRef ds:uri="http://schemas.openxmlformats.org/officeDocument/2006/bibliography"/>
  </ds:schemaRefs>
</ds:datastoreItem>
</file>

<file path=customXml/itemProps2.xml><?xml version="1.0" encoding="utf-8"?>
<ds:datastoreItem xmlns:ds="http://schemas.openxmlformats.org/officeDocument/2006/customXml" ds:itemID="{9D6D27DF-9A72-4086-9BE3-BE14B2D616C0}"/>
</file>

<file path=customXml/itemProps3.xml><?xml version="1.0" encoding="utf-8"?>
<ds:datastoreItem xmlns:ds="http://schemas.openxmlformats.org/officeDocument/2006/customXml" ds:itemID="{1F56FBB3-41C0-4BC7-8FDE-B8EEF1DA96FD}"/>
</file>

<file path=customXml/itemProps4.xml><?xml version="1.0" encoding="utf-8"?>
<ds:datastoreItem xmlns:ds="http://schemas.openxmlformats.org/officeDocument/2006/customXml" ds:itemID="{07B29D7E-4940-4691-BEA4-6521ED3279F1}"/>
</file>

<file path=docProps/app.xml><?xml version="1.0" encoding="utf-8"?>
<Properties xmlns="http://schemas.openxmlformats.org/officeDocument/2006/extended-properties" xmlns:vt="http://schemas.openxmlformats.org/officeDocument/2006/docPropsVTypes">
  <Template>Normal</Template>
  <TotalTime>2</TotalTime>
  <Pages>5</Pages>
  <Words>1833</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Scheduled audit committee meetings</vt:lpstr>
    </vt:vector>
  </TitlesOfParts>
  <Company>DSG</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audit committee meetings</dc:title>
  <dc:creator>GERRAP02</dc:creator>
  <cp:lastModifiedBy>Sarah Thomas (Dep CoSec)</cp:lastModifiedBy>
  <cp:revision>3</cp:revision>
  <cp:lastPrinted>2014-08-20T12:53:00Z</cp:lastPrinted>
  <dcterms:created xsi:type="dcterms:W3CDTF">2021-01-14T22:49:00Z</dcterms:created>
  <dcterms:modified xsi:type="dcterms:W3CDTF">2021-01-27T20:19:00Z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