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92CB8" w14:textId="77777777" w:rsidR="00033ADF" w:rsidRDefault="00033ADF">
      <w:pPr>
        <w:pStyle w:val="BodyText"/>
        <w:spacing w:before="9"/>
        <w:ind w:left="0" w:firstLine="0"/>
        <w:jc w:val="left"/>
        <w:rPr>
          <w:rFonts w:ascii="Times New Roman"/>
          <w:sz w:val="20"/>
        </w:rPr>
      </w:pPr>
    </w:p>
    <w:p w14:paraId="36C57FC3" w14:textId="77777777" w:rsidR="00033ADF" w:rsidRDefault="00C17451">
      <w:pPr>
        <w:pStyle w:val="Heading1"/>
        <w:spacing w:before="94"/>
        <w:ind w:left="2026" w:right="2023" w:firstLine="0"/>
        <w:jc w:val="center"/>
      </w:pPr>
      <w:r>
        <w:t>Dixons Carphone plc</w:t>
      </w:r>
    </w:p>
    <w:p w14:paraId="51C32B7D" w14:textId="77777777" w:rsidR="00033ADF" w:rsidRDefault="00033ADF">
      <w:pPr>
        <w:pStyle w:val="BodyText"/>
        <w:spacing w:before="1"/>
        <w:ind w:left="0" w:firstLine="0"/>
        <w:jc w:val="left"/>
        <w:rPr>
          <w:b/>
          <w:sz w:val="28"/>
        </w:rPr>
      </w:pPr>
    </w:p>
    <w:p w14:paraId="47683779" w14:textId="77777777" w:rsidR="00033ADF" w:rsidRDefault="00C17451">
      <w:pPr>
        <w:spacing w:line="252" w:lineRule="exact"/>
        <w:ind w:left="2026" w:right="2024"/>
        <w:jc w:val="center"/>
        <w:rPr>
          <w:b/>
        </w:rPr>
      </w:pPr>
      <w:bookmarkStart w:id="0" w:name="Terms_of_Reference_of_the_Disclosure_Com"/>
      <w:bookmarkEnd w:id="0"/>
      <w:r>
        <w:rPr>
          <w:b/>
        </w:rPr>
        <w:t>Terms of Reference of the Disclosure Committee</w:t>
      </w:r>
    </w:p>
    <w:p w14:paraId="0424E75D" w14:textId="341046EC" w:rsidR="00033ADF" w:rsidRDefault="00C17451">
      <w:pPr>
        <w:pStyle w:val="BodyText"/>
        <w:spacing w:line="252" w:lineRule="exact"/>
        <w:ind w:left="2025" w:right="2024" w:firstLine="0"/>
        <w:jc w:val="center"/>
      </w:pPr>
      <w:r>
        <w:t xml:space="preserve">Approved by the Board on </w:t>
      </w:r>
      <w:r w:rsidR="00F748D9">
        <w:t xml:space="preserve">21 </w:t>
      </w:r>
      <w:r>
        <w:t xml:space="preserve">January </w:t>
      </w:r>
      <w:bookmarkStart w:id="1" w:name="_GoBack"/>
      <w:r w:rsidR="00F748D9">
        <w:t>2021</w:t>
      </w:r>
      <w:bookmarkEnd w:id="1"/>
    </w:p>
    <w:p w14:paraId="16CC9C6D" w14:textId="77777777" w:rsidR="00033ADF" w:rsidRDefault="00033ADF">
      <w:pPr>
        <w:pStyle w:val="BodyText"/>
        <w:ind w:left="0" w:firstLine="0"/>
        <w:jc w:val="left"/>
      </w:pPr>
    </w:p>
    <w:p w14:paraId="4299B992" w14:textId="77777777" w:rsidR="00033ADF" w:rsidRDefault="00C17451">
      <w:pPr>
        <w:pStyle w:val="BodyText"/>
        <w:ind w:left="115" w:right="825" w:firstLine="0"/>
        <w:jc w:val="left"/>
      </w:pPr>
      <w:r>
        <w:t>Reference to ‘the Committee’ shall mean the Disclosure Committee of the Company. Reference to ‘the Board’ shall mean the Board of Directors of Dixons Carphone plc. Reference to ‘the Company’ shall mean Dixons Carphone plc.</w:t>
      </w:r>
    </w:p>
    <w:p w14:paraId="1E70E3D1" w14:textId="77777777" w:rsidR="00033ADF" w:rsidRDefault="00C17451">
      <w:pPr>
        <w:pStyle w:val="BodyText"/>
        <w:spacing w:line="252" w:lineRule="exact"/>
        <w:ind w:left="115" w:firstLine="0"/>
        <w:jc w:val="left"/>
      </w:pPr>
      <w:r>
        <w:t>Reference to ‘the Group’ shall mean the Dixons Carphone group of companies.</w:t>
      </w:r>
    </w:p>
    <w:p w14:paraId="6BE0913B" w14:textId="77777777" w:rsidR="00033ADF" w:rsidRDefault="00033ADF">
      <w:pPr>
        <w:pStyle w:val="BodyText"/>
        <w:ind w:left="0" w:firstLine="0"/>
        <w:jc w:val="left"/>
        <w:rPr>
          <w:sz w:val="24"/>
        </w:rPr>
      </w:pPr>
    </w:p>
    <w:p w14:paraId="21306924" w14:textId="77777777" w:rsidR="00033ADF" w:rsidRDefault="00C17451">
      <w:pPr>
        <w:pStyle w:val="Heading1"/>
        <w:numPr>
          <w:ilvl w:val="0"/>
          <w:numId w:val="6"/>
        </w:numPr>
        <w:tabs>
          <w:tab w:val="left" w:pos="683"/>
        </w:tabs>
        <w:spacing w:before="158" w:line="252" w:lineRule="exact"/>
        <w:ind w:hanging="568"/>
        <w:jc w:val="both"/>
      </w:pPr>
      <w:r>
        <w:t>Constitution</w:t>
      </w:r>
    </w:p>
    <w:p w14:paraId="593E4259" w14:textId="77777777" w:rsidR="00033ADF" w:rsidRDefault="00C17451">
      <w:pPr>
        <w:pStyle w:val="ListParagraph"/>
        <w:numPr>
          <w:ilvl w:val="1"/>
          <w:numId w:val="6"/>
        </w:numPr>
        <w:tabs>
          <w:tab w:val="left" w:pos="682"/>
        </w:tabs>
        <w:ind w:right="110"/>
        <w:jc w:val="both"/>
      </w:pPr>
      <w:r>
        <w:t>The Board hereby resolves to establish a Committee of the Board to be known as the Disclosure Committee. The membership, duties and authorities of the Committee are set out in these Terms of Reference which may be amended from time to time by the Board.</w:t>
      </w:r>
    </w:p>
    <w:p w14:paraId="448439FB" w14:textId="77777777" w:rsidR="00033ADF" w:rsidRDefault="00033ADF">
      <w:pPr>
        <w:pStyle w:val="BodyText"/>
        <w:spacing w:before="10"/>
        <w:ind w:left="0" w:firstLine="0"/>
        <w:jc w:val="left"/>
        <w:rPr>
          <w:sz w:val="21"/>
        </w:rPr>
      </w:pPr>
    </w:p>
    <w:p w14:paraId="1FB1305F" w14:textId="77777777" w:rsidR="00033ADF" w:rsidRDefault="00C17451">
      <w:pPr>
        <w:pStyle w:val="Heading1"/>
        <w:numPr>
          <w:ilvl w:val="0"/>
          <w:numId w:val="6"/>
        </w:numPr>
        <w:tabs>
          <w:tab w:val="left" w:pos="682"/>
        </w:tabs>
        <w:ind w:left="681"/>
        <w:jc w:val="both"/>
      </w:pPr>
      <w:r>
        <w:t>Membership and Attendance</w:t>
      </w:r>
    </w:p>
    <w:p w14:paraId="6B996C59" w14:textId="77777777" w:rsidR="00033ADF" w:rsidRDefault="00C17451">
      <w:pPr>
        <w:pStyle w:val="ListParagraph"/>
        <w:numPr>
          <w:ilvl w:val="1"/>
          <w:numId w:val="5"/>
        </w:numPr>
        <w:tabs>
          <w:tab w:val="left" w:pos="682"/>
        </w:tabs>
        <w:spacing w:before="2"/>
        <w:ind w:right="112"/>
        <w:jc w:val="both"/>
      </w:pPr>
      <w:r>
        <w:t xml:space="preserve">The Committee will meet as and when it is deemed necessary and shall comprise the Group Chief Executive, the Group Chief Financial Officer and the General Counsel </w:t>
      </w:r>
      <w:r w:rsidR="0056417D">
        <w:t>and</w:t>
      </w:r>
      <w:r>
        <w:t xml:space="preserve"> Company Secretary. The Group Chair and the Senior Independent Director </w:t>
      </w:r>
      <w:r>
        <w:rPr>
          <w:spacing w:val="-3"/>
        </w:rPr>
        <w:t xml:space="preserve">will </w:t>
      </w:r>
      <w:r>
        <w:t>receive notice and papers of all meetings and will act as ‘alternates’ to the members in the event that the quorum of three cannot be</w:t>
      </w:r>
      <w:r>
        <w:rPr>
          <w:spacing w:val="-9"/>
        </w:rPr>
        <w:t xml:space="preserve"> </w:t>
      </w:r>
      <w:r>
        <w:t>met.</w:t>
      </w:r>
    </w:p>
    <w:p w14:paraId="77DE893D" w14:textId="77777777" w:rsidR="00033ADF" w:rsidRDefault="00C17451">
      <w:pPr>
        <w:pStyle w:val="ListParagraph"/>
        <w:numPr>
          <w:ilvl w:val="1"/>
          <w:numId w:val="5"/>
        </w:numPr>
        <w:tabs>
          <w:tab w:val="left" w:pos="683"/>
        </w:tabs>
        <w:ind w:left="682" w:right="113"/>
        <w:jc w:val="both"/>
      </w:pPr>
      <w:r>
        <w:t>The Chair of the Committee is the Group Chief Financial Officer and in the absence of the Group Chief Financial Officer, the Group Chief Executive shall chair the</w:t>
      </w:r>
      <w:r>
        <w:rPr>
          <w:spacing w:val="-17"/>
        </w:rPr>
        <w:t xml:space="preserve"> </w:t>
      </w:r>
      <w:r>
        <w:t>meeting.</w:t>
      </w:r>
    </w:p>
    <w:p w14:paraId="2F43F38E" w14:textId="77777777" w:rsidR="00033ADF" w:rsidRDefault="00C17451">
      <w:pPr>
        <w:pStyle w:val="ListParagraph"/>
        <w:numPr>
          <w:ilvl w:val="1"/>
          <w:numId w:val="5"/>
        </w:numPr>
        <w:tabs>
          <w:tab w:val="left" w:pos="683"/>
        </w:tabs>
        <w:ind w:left="682" w:right="111"/>
        <w:jc w:val="both"/>
      </w:pPr>
      <w:r>
        <w:t>The</w:t>
      </w:r>
      <w:r>
        <w:rPr>
          <w:spacing w:val="-7"/>
        </w:rPr>
        <w:t xml:space="preserve"> </w:t>
      </w:r>
      <w:r>
        <w:t>quorum</w:t>
      </w:r>
      <w:r>
        <w:rPr>
          <w:spacing w:val="-3"/>
        </w:rPr>
        <w:t xml:space="preserve"> </w:t>
      </w:r>
      <w:r>
        <w:t>necessary</w:t>
      </w:r>
      <w:r>
        <w:rPr>
          <w:spacing w:val="-8"/>
        </w:rPr>
        <w:t xml:space="preserve"> </w:t>
      </w:r>
      <w:r>
        <w:t>for</w:t>
      </w:r>
      <w:r>
        <w:rPr>
          <w:spacing w:val="-3"/>
        </w:rPr>
        <w:t xml:space="preserve"> </w:t>
      </w:r>
      <w:r>
        <w:t>the</w:t>
      </w:r>
      <w:r>
        <w:rPr>
          <w:spacing w:val="-6"/>
        </w:rPr>
        <w:t xml:space="preserve"> </w:t>
      </w:r>
      <w:r>
        <w:t>transaction</w:t>
      </w:r>
      <w:r>
        <w:rPr>
          <w:spacing w:val="-4"/>
        </w:rPr>
        <w:t xml:space="preserve"> </w:t>
      </w:r>
      <w:r>
        <w:t>of</w:t>
      </w:r>
      <w:r>
        <w:rPr>
          <w:spacing w:val="-3"/>
        </w:rPr>
        <w:t xml:space="preserve"> </w:t>
      </w:r>
      <w:r>
        <w:t>business</w:t>
      </w:r>
      <w:r>
        <w:rPr>
          <w:spacing w:val="-4"/>
        </w:rPr>
        <w:t xml:space="preserve"> </w:t>
      </w:r>
      <w:r>
        <w:t>by</w:t>
      </w:r>
      <w:r>
        <w:rPr>
          <w:spacing w:val="-6"/>
        </w:rPr>
        <w:t xml:space="preserve"> </w:t>
      </w:r>
      <w:r>
        <w:t>the</w:t>
      </w:r>
      <w:r>
        <w:rPr>
          <w:spacing w:val="-4"/>
        </w:rPr>
        <w:t xml:space="preserve"> </w:t>
      </w:r>
      <w:r>
        <w:t>Committee</w:t>
      </w:r>
      <w:r>
        <w:rPr>
          <w:spacing w:val="-4"/>
        </w:rPr>
        <w:t xml:space="preserve"> </w:t>
      </w:r>
      <w:r>
        <w:t>shall</w:t>
      </w:r>
      <w:r>
        <w:rPr>
          <w:spacing w:val="-5"/>
        </w:rPr>
        <w:t xml:space="preserve"> </w:t>
      </w:r>
      <w:r>
        <w:t>be</w:t>
      </w:r>
      <w:r>
        <w:rPr>
          <w:spacing w:val="-4"/>
        </w:rPr>
        <w:t xml:space="preserve"> </w:t>
      </w:r>
      <w:r>
        <w:t>three members,</w:t>
      </w:r>
      <w:r>
        <w:rPr>
          <w:spacing w:val="-18"/>
        </w:rPr>
        <w:t xml:space="preserve"> </w:t>
      </w:r>
      <w:r>
        <w:t>or</w:t>
      </w:r>
      <w:r>
        <w:rPr>
          <w:spacing w:val="-18"/>
        </w:rPr>
        <w:t xml:space="preserve"> </w:t>
      </w:r>
      <w:r>
        <w:t>three</w:t>
      </w:r>
      <w:r>
        <w:rPr>
          <w:spacing w:val="-16"/>
        </w:rPr>
        <w:t xml:space="preserve"> </w:t>
      </w:r>
      <w:r>
        <w:t>including</w:t>
      </w:r>
      <w:r>
        <w:rPr>
          <w:spacing w:val="-16"/>
        </w:rPr>
        <w:t xml:space="preserve"> </w:t>
      </w:r>
      <w:r>
        <w:t>the</w:t>
      </w:r>
      <w:r>
        <w:rPr>
          <w:spacing w:val="-17"/>
        </w:rPr>
        <w:t xml:space="preserve"> </w:t>
      </w:r>
      <w:r>
        <w:t>designated</w:t>
      </w:r>
      <w:r>
        <w:rPr>
          <w:spacing w:val="-16"/>
        </w:rPr>
        <w:t xml:space="preserve"> </w:t>
      </w:r>
      <w:r>
        <w:t>alternates</w:t>
      </w:r>
      <w:r>
        <w:rPr>
          <w:spacing w:val="-17"/>
        </w:rPr>
        <w:t xml:space="preserve"> </w:t>
      </w:r>
      <w:r>
        <w:t>per</w:t>
      </w:r>
      <w:r>
        <w:rPr>
          <w:spacing w:val="-16"/>
        </w:rPr>
        <w:t xml:space="preserve"> </w:t>
      </w:r>
      <w:r>
        <w:t>2.1</w:t>
      </w:r>
      <w:r>
        <w:rPr>
          <w:spacing w:val="-16"/>
        </w:rPr>
        <w:t xml:space="preserve"> </w:t>
      </w:r>
      <w:r>
        <w:t>above,</w:t>
      </w:r>
      <w:r>
        <w:rPr>
          <w:spacing w:val="-14"/>
        </w:rPr>
        <w:t xml:space="preserve"> </w:t>
      </w:r>
      <w:r>
        <w:t>present</w:t>
      </w:r>
      <w:r>
        <w:rPr>
          <w:spacing w:val="-16"/>
        </w:rPr>
        <w:t xml:space="preserve"> </w:t>
      </w:r>
      <w:r>
        <w:t>in</w:t>
      </w:r>
      <w:r>
        <w:rPr>
          <w:spacing w:val="-16"/>
        </w:rPr>
        <w:t xml:space="preserve"> </w:t>
      </w:r>
      <w:r>
        <w:t>person, by telephone or video conference call, one of whom shall be the Group Chief Financial Officer, or their</w:t>
      </w:r>
      <w:r>
        <w:rPr>
          <w:spacing w:val="7"/>
        </w:rPr>
        <w:t xml:space="preserve"> </w:t>
      </w:r>
      <w:r>
        <w:t>nominee.</w:t>
      </w:r>
    </w:p>
    <w:p w14:paraId="5CE354F1" w14:textId="77777777" w:rsidR="00033ADF" w:rsidRDefault="00C17451">
      <w:pPr>
        <w:pStyle w:val="ListParagraph"/>
        <w:numPr>
          <w:ilvl w:val="1"/>
          <w:numId w:val="5"/>
        </w:numPr>
        <w:tabs>
          <w:tab w:val="left" w:pos="683"/>
        </w:tabs>
        <w:ind w:left="682" w:right="114"/>
        <w:jc w:val="both"/>
      </w:pPr>
      <w:r>
        <w:t xml:space="preserve">The General Counsel </w:t>
      </w:r>
      <w:r w:rsidR="0056417D">
        <w:t>and</w:t>
      </w:r>
      <w:r>
        <w:t xml:space="preserve"> Company Secretary, or their nominee, shall act as the Secretary of the Committee and maintain a record of all meetings of the</w:t>
      </w:r>
      <w:r>
        <w:rPr>
          <w:spacing w:val="-31"/>
        </w:rPr>
        <w:t xml:space="preserve"> </w:t>
      </w:r>
      <w:r>
        <w:t>Committee.</w:t>
      </w:r>
    </w:p>
    <w:p w14:paraId="183E90E6" w14:textId="77777777" w:rsidR="00033ADF" w:rsidRDefault="00C17451">
      <w:pPr>
        <w:pStyle w:val="ListParagraph"/>
        <w:numPr>
          <w:ilvl w:val="1"/>
          <w:numId w:val="5"/>
        </w:numPr>
        <w:tabs>
          <w:tab w:val="left" w:pos="683"/>
        </w:tabs>
        <w:ind w:left="682" w:right="113"/>
        <w:jc w:val="both"/>
      </w:pPr>
      <w:r>
        <w:t>Committee meetings shall be called by the Secretary at the request of the Committee Chair.</w:t>
      </w:r>
    </w:p>
    <w:p w14:paraId="334977E2" w14:textId="77777777" w:rsidR="00033ADF" w:rsidRDefault="00C17451">
      <w:pPr>
        <w:pStyle w:val="ListParagraph"/>
        <w:numPr>
          <w:ilvl w:val="1"/>
          <w:numId w:val="5"/>
        </w:numPr>
        <w:tabs>
          <w:tab w:val="left" w:pos="683"/>
        </w:tabs>
        <w:ind w:left="682" w:right="111"/>
        <w:jc w:val="both"/>
      </w:pPr>
      <w:r>
        <w:t>Notice of each meeting confirming the venue, time and date together with an agenda and</w:t>
      </w:r>
      <w:r>
        <w:rPr>
          <w:spacing w:val="-17"/>
        </w:rPr>
        <w:t xml:space="preserve"> </w:t>
      </w:r>
      <w:r>
        <w:t>supporting</w:t>
      </w:r>
      <w:r>
        <w:rPr>
          <w:spacing w:val="-15"/>
        </w:rPr>
        <w:t xml:space="preserve"> </w:t>
      </w:r>
      <w:r>
        <w:t>papers</w:t>
      </w:r>
      <w:r>
        <w:rPr>
          <w:spacing w:val="-16"/>
        </w:rPr>
        <w:t xml:space="preserve"> </w:t>
      </w:r>
      <w:r>
        <w:t>shall</w:t>
      </w:r>
      <w:r>
        <w:rPr>
          <w:spacing w:val="-18"/>
        </w:rPr>
        <w:t xml:space="preserve"> </w:t>
      </w:r>
      <w:r>
        <w:t>be</w:t>
      </w:r>
      <w:r>
        <w:rPr>
          <w:spacing w:val="-16"/>
        </w:rPr>
        <w:t xml:space="preserve"> </w:t>
      </w:r>
      <w:r>
        <w:t>circulated</w:t>
      </w:r>
      <w:r>
        <w:rPr>
          <w:spacing w:val="-17"/>
        </w:rPr>
        <w:t xml:space="preserve"> </w:t>
      </w:r>
      <w:r>
        <w:t>to</w:t>
      </w:r>
      <w:r>
        <w:rPr>
          <w:spacing w:val="-16"/>
        </w:rPr>
        <w:t xml:space="preserve"> </w:t>
      </w:r>
      <w:r>
        <w:t>Committee</w:t>
      </w:r>
      <w:r>
        <w:rPr>
          <w:spacing w:val="-17"/>
        </w:rPr>
        <w:t xml:space="preserve"> </w:t>
      </w:r>
      <w:r>
        <w:t>members</w:t>
      </w:r>
      <w:r>
        <w:rPr>
          <w:spacing w:val="-16"/>
        </w:rPr>
        <w:t xml:space="preserve"> </w:t>
      </w:r>
      <w:r>
        <w:t>and</w:t>
      </w:r>
      <w:r>
        <w:rPr>
          <w:spacing w:val="-17"/>
        </w:rPr>
        <w:t xml:space="preserve"> </w:t>
      </w:r>
      <w:r>
        <w:t>attendees,</w:t>
      </w:r>
      <w:r>
        <w:rPr>
          <w:spacing w:val="-16"/>
        </w:rPr>
        <w:t xml:space="preserve"> </w:t>
      </w:r>
      <w:r>
        <w:t>where possible no later than five working days before the date of the</w:t>
      </w:r>
      <w:r>
        <w:rPr>
          <w:spacing w:val="-12"/>
        </w:rPr>
        <w:t xml:space="preserve"> </w:t>
      </w:r>
      <w:r>
        <w:t>meeting.</w:t>
      </w:r>
    </w:p>
    <w:p w14:paraId="2488F903" w14:textId="77777777" w:rsidR="00033ADF" w:rsidRDefault="00C17451">
      <w:pPr>
        <w:pStyle w:val="ListParagraph"/>
        <w:numPr>
          <w:ilvl w:val="1"/>
          <w:numId w:val="5"/>
        </w:numPr>
        <w:tabs>
          <w:tab w:val="left" w:pos="683"/>
        </w:tabs>
        <w:ind w:right="112"/>
        <w:jc w:val="both"/>
      </w:pPr>
      <w:r>
        <w:t>Committee meeting minutes shall be circulated to the Committee members and once approved, to the Board, unless in the opinion of the Committee Chair, it would be inappropriate to do</w:t>
      </w:r>
      <w:r>
        <w:rPr>
          <w:spacing w:val="-5"/>
        </w:rPr>
        <w:t xml:space="preserve"> </w:t>
      </w:r>
      <w:r>
        <w:t>so.</w:t>
      </w:r>
    </w:p>
    <w:p w14:paraId="35C5AEC0" w14:textId="77777777" w:rsidR="00033ADF" w:rsidRDefault="00C17451">
      <w:pPr>
        <w:pStyle w:val="ListParagraph"/>
        <w:numPr>
          <w:ilvl w:val="1"/>
          <w:numId w:val="5"/>
        </w:numPr>
        <w:tabs>
          <w:tab w:val="left" w:pos="682"/>
        </w:tabs>
        <w:ind w:right="112"/>
        <w:jc w:val="both"/>
      </w:pPr>
      <w:r>
        <w:t>The Board shall have the power at any time to remove any members from the Committee and to fill any</w:t>
      </w:r>
      <w:r>
        <w:rPr>
          <w:spacing w:val="-9"/>
        </w:rPr>
        <w:t xml:space="preserve"> </w:t>
      </w:r>
      <w:r>
        <w:t>vacancies.</w:t>
      </w:r>
    </w:p>
    <w:p w14:paraId="7BCDBA3D" w14:textId="77777777" w:rsidR="00033ADF" w:rsidRDefault="00C17451">
      <w:pPr>
        <w:pStyle w:val="ListParagraph"/>
        <w:numPr>
          <w:ilvl w:val="1"/>
          <w:numId w:val="5"/>
        </w:numPr>
        <w:tabs>
          <w:tab w:val="left" w:pos="682"/>
        </w:tabs>
        <w:ind w:right="112"/>
        <w:jc w:val="both"/>
      </w:pPr>
      <w:r>
        <w:t xml:space="preserve">Only members of the Committee, or the designated alternates per 2.1 above, have the right to attend Committee meetings. The Committee may receive input from other directors, Group executives and the </w:t>
      </w:r>
      <w:r w:rsidR="0056417D">
        <w:t xml:space="preserve">Group Strategy &amp; </w:t>
      </w:r>
      <w:r>
        <w:t>Corporate Affairs Director. The Committee</w:t>
      </w:r>
      <w:r>
        <w:rPr>
          <w:spacing w:val="-19"/>
        </w:rPr>
        <w:t xml:space="preserve"> </w:t>
      </w:r>
      <w:r>
        <w:t>may</w:t>
      </w:r>
      <w:r>
        <w:rPr>
          <w:spacing w:val="-18"/>
        </w:rPr>
        <w:t xml:space="preserve"> </w:t>
      </w:r>
      <w:r>
        <w:t>invite</w:t>
      </w:r>
      <w:r>
        <w:rPr>
          <w:spacing w:val="-16"/>
        </w:rPr>
        <w:t xml:space="preserve"> </w:t>
      </w:r>
      <w:r>
        <w:t>them</w:t>
      </w:r>
      <w:r>
        <w:rPr>
          <w:spacing w:val="-17"/>
        </w:rPr>
        <w:t xml:space="preserve"> </w:t>
      </w:r>
      <w:r>
        <w:t>to</w:t>
      </w:r>
      <w:r>
        <w:rPr>
          <w:spacing w:val="-18"/>
        </w:rPr>
        <w:t xml:space="preserve"> </w:t>
      </w:r>
      <w:r>
        <w:t>attend</w:t>
      </w:r>
      <w:r>
        <w:rPr>
          <w:spacing w:val="-16"/>
        </w:rPr>
        <w:t xml:space="preserve"> </w:t>
      </w:r>
      <w:r>
        <w:t>all</w:t>
      </w:r>
      <w:r>
        <w:rPr>
          <w:spacing w:val="-17"/>
        </w:rPr>
        <w:t xml:space="preserve"> </w:t>
      </w:r>
      <w:r>
        <w:t>or</w:t>
      </w:r>
      <w:r>
        <w:rPr>
          <w:spacing w:val="-16"/>
        </w:rPr>
        <w:t xml:space="preserve"> </w:t>
      </w:r>
      <w:r>
        <w:t>part</w:t>
      </w:r>
      <w:r>
        <w:rPr>
          <w:spacing w:val="-17"/>
        </w:rPr>
        <w:t xml:space="preserve"> </w:t>
      </w:r>
      <w:r>
        <w:t>of</w:t>
      </w:r>
      <w:r>
        <w:rPr>
          <w:spacing w:val="-15"/>
        </w:rPr>
        <w:t xml:space="preserve"> </w:t>
      </w:r>
      <w:r>
        <w:t>any</w:t>
      </w:r>
      <w:r>
        <w:rPr>
          <w:spacing w:val="-18"/>
        </w:rPr>
        <w:t xml:space="preserve"> </w:t>
      </w:r>
      <w:r>
        <w:t>meeting,</w:t>
      </w:r>
      <w:r>
        <w:rPr>
          <w:spacing w:val="-17"/>
        </w:rPr>
        <w:t xml:space="preserve"> </w:t>
      </w:r>
      <w:r>
        <w:t>as</w:t>
      </w:r>
      <w:r>
        <w:rPr>
          <w:spacing w:val="-18"/>
        </w:rPr>
        <w:t xml:space="preserve"> </w:t>
      </w:r>
      <w:r>
        <w:t>and</w:t>
      </w:r>
      <w:r>
        <w:rPr>
          <w:spacing w:val="-16"/>
        </w:rPr>
        <w:t xml:space="preserve"> </w:t>
      </w:r>
      <w:r>
        <w:t>when</w:t>
      </w:r>
      <w:r>
        <w:rPr>
          <w:spacing w:val="-18"/>
        </w:rPr>
        <w:t xml:space="preserve"> </w:t>
      </w:r>
      <w:r>
        <w:t>appropriate and</w:t>
      </w:r>
      <w:r>
        <w:rPr>
          <w:spacing w:val="-1"/>
        </w:rPr>
        <w:t xml:space="preserve"> </w:t>
      </w:r>
      <w:r>
        <w:t>necessary.</w:t>
      </w:r>
    </w:p>
    <w:p w14:paraId="1E6EA2BC" w14:textId="77777777" w:rsidR="00033ADF" w:rsidRDefault="00033ADF">
      <w:pPr>
        <w:pStyle w:val="BodyText"/>
        <w:spacing w:before="1"/>
        <w:ind w:left="0" w:firstLine="0"/>
        <w:jc w:val="left"/>
      </w:pPr>
    </w:p>
    <w:p w14:paraId="1565C16B" w14:textId="77777777" w:rsidR="00033ADF" w:rsidRDefault="00C17451">
      <w:pPr>
        <w:pStyle w:val="Heading1"/>
        <w:numPr>
          <w:ilvl w:val="0"/>
          <w:numId w:val="4"/>
        </w:numPr>
        <w:tabs>
          <w:tab w:val="left" w:pos="682"/>
        </w:tabs>
        <w:jc w:val="both"/>
      </w:pPr>
      <w:r>
        <w:t>Organisation of the Committee</w:t>
      </w:r>
    </w:p>
    <w:p w14:paraId="7BB9E568" w14:textId="77777777" w:rsidR="00033ADF" w:rsidRDefault="00C17451">
      <w:pPr>
        <w:pStyle w:val="ListParagraph"/>
        <w:numPr>
          <w:ilvl w:val="1"/>
          <w:numId w:val="4"/>
        </w:numPr>
        <w:tabs>
          <w:tab w:val="left" w:pos="682"/>
        </w:tabs>
        <w:spacing w:before="18" w:line="259" w:lineRule="auto"/>
        <w:ind w:right="113"/>
        <w:jc w:val="both"/>
      </w:pPr>
      <w:r>
        <w:t>The Committee shall make whatever recommendations to the Board it deems appropriate on any area within its remit where action or improvement is</w:t>
      </w:r>
      <w:r>
        <w:rPr>
          <w:spacing w:val="-23"/>
        </w:rPr>
        <w:t xml:space="preserve"> </w:t>
      </w:r>
      <w:r>
        <w:t>needed.</w:t>
      </w:r>
    </w:p>
    <w:p w14:paraId="25A2C82F" w14:textId="77777777" w:rsidR="00033ADF" w:rsidRDefault="00C17451">
      <w:pPr>
        <w:pStyle w:val="ListParagraph"/>
        <w:numPr>
          <w:ilvl w:val="1"/>
          <w:numId w:val="4"/>
        </w:numPr>
        <w:tabs>
          <w:tab w:val="left" w:pos="682"/>
        </w:tabs>
        <w:spacing w:before="1" w:line="259" w:lineRule="auto"/>
        <w:ind w:right="114"/>
        <w:jc w:val="both"/>
      </w:pPr>
      <w:r>
        <w:t>The Committee shall meet at least annually to review the operation, adequacy and effectiveness of the Group’s Disclosure and Communication procedures and its own procedures. The Committee shall submit the results of its annual review of</w:t>
      </w:r>
      <w:r>
        <w:rPr>
          <w:spacing w:val="39"/>
        </w:rPr>
        <w:t xml:space="preserve"> </w:t>
      </w:r>
      <w:r>
        <w:t>the</w:t>
      </w:r>
    </w:p>
    <w:p w14:paraId="70E68139" w14:textId="77777777" w:rsidR="00033ADF" w:rsidRDefault="00C17451">
      <w:pPr>
        <w:pStyle w:val="BodyText"/>
        <w:spacing w:before="83" w:line="256" w:lineRule="auto"/>
        <w:ind w:right="113" w:firstLine="0"/>
      </w:pPr>
      <w:r>
        <w:t xml:space="preserve">operation, adequacy and effectiveness of the Disclosure and Communication </w:t>
      </w:r>
      <w:r>
        <w:lastRenderedPageBreak/>
        <w:t>procedures and its own procedures to the Board.</w:t>
      </w:r>
    </w:p>
    <w:p w14:paraId="55F852DA" w14:textId="77777777" w:rsidR="00033ADF" w:rsidRDefault="00C17451">
      <w:pPr>
        <w:pStyle w:val="ListParagraph"/>
        <w:numPr>
          <w:ilvl w:val="1"/>
          <w:numId w:val="4"/>
        </w:numPr>
        <w:tabs>
          <w:tab w:val="left" w:pos="683"/>
        </w:tabs>
        <w:spacing w:before="4" w:line="259" w:lineRule="auto"/>
        <w:ind w:left="682" w:right="112"/>
        <w:jc w:val="both"/>
      </w:pPr>
      <w:r>
        <w:t>The</w:t>
      </w:r>
      <w:r>
        <w:rPr>
          <w:spacing w:val="-15"/>
        </w:rPr>
        <w:t xml:space="preserve"> </w:t>
      </w:r>
      <w:r>
        <w:t>Committee</w:t>
      </w:r>
      <w:r>
        <w:rPr>
          <w:spacing w:val="-14"/>
        </w:rPr>
        <w:t xml:space="preserve"> </w:t>
      </w:r>
      <w:r>
        <w:t>shall,</w:t>
      </w:r>
      <w:r>
        <w:rPr>
          <w:spacing w:val="-11"/>
        </w:rPr>
        <w:t xml:space="preserve"> </w:t>
      </w:r>
      <w:r>
        <w:t>at</w:t>
      </w:r>
      <w:r>
        <w:rPr>
          <w:spacing w:val="-12"/>
        </w:rPr>
        <w:t xml:space="preserve"> </w:t>
      </w:r>
      <w:r>
        <w:t>least</w:t>
      </w:r>
      <w:r>
        <w:rPr>
          <w:spacing w:val="-13"/>
        </w:rPr>
        <w:t xml:space="preserve"> </w:t>
      </w:r>
      <w:r>
        <w:t>once</w:t>
      </w:r>
      <w:r>
        <w:rPr>
          <w:spacing w:val="-14"/>
        </w:rPr>
        <w:t xml:space="preserve"> </w:t>
      </w:r>
      <w:r>
        <w:t>a</w:t>
      </w:r>
      <w:r>
        <w:rPr>
          <w:spacing w:val="-14"/>
        </w:rPr>
        <w:t xml:space="preserve"> </w:t>
      </w:r>
      <w:r>
        <w:t>year,</w:t>
      </w:r>
      <w:r>
        <w:rPr>
          <w:spacing w:val="-13"/>
        </w:rPr>
        <w:t xml:space="preserve"> </w:t>
      </w:r>
      <w:r>
        <w:t>review</w:t>
      </w:r>
      <w:r>
        <w:rPr>
          <w:spacing w:val="-14"/>
        </w:rPr>
        <w:t xml:space="preserve"> </w:t>
      </w:r>
      <w:r>
        <w:t>its</w:t>
      </w:r>
      <w:r>
        <w:rPr>
          <w:spacing w:val="-14"/>
        </w:rPr>
        <w:t xml:space="preserve"> </w:t>
      </w:r>
      <w:r>
        <w:t>own</w:t>
      </w:r>
      <w:r>
        <w:rPr>
          <w:spacing w:val="-11"/>
        </w:rPr>
        <w:t xml:space="preserve"> </w:t>
      </w:r>
      <w:r>
        <w:t>performance,</w:t>
      </w:r>
      <w:r>
        <w:rPr>
          <w:spacing w:val="-13"/>
        </w:rPr>
        <w:t xml:space="preserve"> </w:t>
      </w:r>
      <w:r>
        <w:t>constitution</w:t>
      </w:r>
      <w:r>
        <w:rPr>
          <w:spacing w:val="-14"/>
        </w:rPr>
        <w:t xml:space="preserve"> </w:t>
      </w:r>
      <w:r>
        <w:t>and Terms of Reference to ensure it is operating at maximum effectiveness, recommend any changes it considers necessary to the Board for approval, and annually report to the</w:t>
      </w:r>
      <w:r>
        <w:rPr>
          <w:spacing w:val="-12"/>
        </w:rPr>
        <w:t xml:space="preserve"> </w:t>
      </w:r>
      <w:r>
        <w:t>Board</w:t>
      </w:r>
      <w:r>
        <w:rPr>
          <w:spacing w:val="-15"/>
        </w:rPr>
        <w:t xml:space="preserve"> </w:t>
      </w:r>
      <w:r>
        <w:t>on</w:t>
      </w:r>
      <w:r>
        <w:rPr>
          <w:spacing w:val="-14"/>
        </w:rPr>
        <w:t xml:space="preserve"> </w:t>
      </w:r>
      <w:r>
        <w:t>how</w:t>
      </w:r>
      <w:r>
        <w:rPr>
          <w:spacing w:val="-14"/>
        </w:rPr>
        <w:t xml:space="preserve"> </w:t>
      </w:r>
      <w:r>
        <w:t>it</w:t>
      </w:r>
      <w:r>
        <w:rPr>
          <w:spacing w:val="-11"/>
        </w:rPr>
        <w:t xml:space="preserve"> </w:t>
      </w:r>
      <w:r>
        <w:t>has</w:t>
      </w:r>
      <w:r>
        <w:rPr>
          <w:spacing w:val="-14"/>
        </w:rPr>
        <w:t xml:space="preserve"> </w:t>
      </w:r>
      <w:r>
        <w:t>discharged</w:t>
      </w:r>
      <w:r>
        <w:rPr>
          <w:spacing w:val="-11"/>
        </w:rPr>
        <w:t xml:space="preserve"> </w:t>
      </w:r>
      <w:r>
        <w:t>its</w:t>
      </w:r>
      <w:r>
        <w:rPr>
          <w:spacing w:val="-14"/>
        </w:rPr>
        <w:t xml:space="preserve"> </w:t>
      </w:r>
      <w:r>
        <w:t>responsibilities</w:t>
      </w:r>
      <w:r>
        <w:rPr>
          <w:spacing w:val="-11"/>
        </w:rPr>
        <w:t xml:space="preserve"> </w:t>
      </w:r>
      <w:r>
        <w:t>under</w:t>
      </w:r>
      <w:r>
        <w:rPr>
          <w:spacing w:val="-16"/>
        </w:rPr>
        <w:t xml:space="preserve"> </w:t>
      </w:r>
      <w:r>
        <w:t>these</w:t>
      </w:r>
      <w:r>
        <w:rPr>
          <w:spacing w:val="-16"/>
        </w:rPr>
        <w:t xml:space="preserve"> </w:t>
      </w:r>
      <w:r>
        <w:t>Terms</w:t>
      </w:r>
      <w:r>
        <w:rPr>
          <w:spacing w:val="-13"/>
        </w:rPr>
        <w:t xml:space="preserve"> </w:t>
      </w:r>
      <w:r>
        <w:t>of</w:t>
      </w:r>
      <w:r>
        <w:rPr>
          <w:spacing w:val="-13"/>
        </w:rPr>
        <w:t xml:space="preserve"> </w:t>
      </w:r>
      <w:r>
        <w:t>Reference.</w:t>
      </w:r>
    </w:p>
    <w:p w14:paraId="328F6BCF" w14:textId="77777777" w:rsidR="00033ADF" w:rsidRDefault="00C17451">
      <w:pPr>
        <w:pStyle w:val="ListParagraph"/>
        <w:numPr>
          <w:ilvl w:val="1"/>
          <w:numId w:val="4"/>
        </w:numPr>
        <w:tabs>
          <w:tab w:val="left" w:pos="683"/>
        </w:tabs>
        <w:spacing w:line="259" w:lineRule="auto"/>
        <w:ind w:left="682" w:right="111"/>
        <w:jc w:val="both"/>
      </w:pPr>
      <w:r>
        <w:t>The</w:t>
      </w:r>
      <w:r>
        <w:rPr>
          <w:spacing w:val="-15"/>
        </w:rPr>
        <w:t xml:space="preserve"> </w:t>
      </w:r>
      <w:r>
        <w:t>Committee</w:t>
      </w:r>
      <w:r>
        <w:rPr>
          <w:spacing w:val="-14"/>
        </w:rPr>
        <w:t xml:space="preserve"> </w:t>
      </w:r>
      <w:r>
        <w:t>shall</w:t>
      </w:r>
      <w:r>
        <w:rPr>
          <w:spacing w:val="-12"/>
        </w:rPr>
        <w:t xml:space="preserve"> </w:t>
      </w:r>
      <w:r>
        <w:t>prepare</w:t>
      </w:r>
      <w:r>
        <w:rPr>
          <w:spacing w:val="-12"/>
        </w:rPr>
        <w:t xml:space="preserve"> </w:t>
      </w:r>
      <w:r>
        <w:t>a</w:t>
      </w:r>
      <w:r>
        <w:rPr>
          <w:spacing w:val="-16"/>
        </w:rPr>
        <w:t xml:space="preserve"> </w:t>
      </w:r>
      <w:r>
        <w:t>report</w:t>
      </w:r>
      <w:r>
        <w:rPr>
          <w:spacing w:val="-12"/>
        </w:rPr>
        <w:t xml:space="preserve"> </w:t>
      </w:r>
      <w:r>
        <w:t>about</w:t>
      </w:r>
      <w:r>
        <w:rPr>
          <w:spacing w:val="-12"/>
        </w:rPr>
        <w:t xml:space="preserve"> </w:t>
      </w:r>
      <w:r>
        <w:t>its</w:t>
      </w:r>
      <w:r>
        <w:rPr>
          <w:spacing w:val="-14"/>
        </w:rPr>
        <w:t xml:space="preserve"> </w:t>
      </w:r>
      <w:r>
        <w:t>activities</w:t>
      </w:r>
      <w:r>
        <w:rPr>
          <w:spacing w:val="-11"/>
        </w:rPr>
        <w:t xml:space="preserve"> </w:t>
      </w:r>
      <w:r>
        <w:t>and</w:t>
      </w:r>
      <w:r>
        <w:rPr>
          <w:spacing w:val="-14"/>
        </w:rPr>
        <w:t xml:space="preserve"> </w:t>
      </w:r>
      <w:r>
        <w:t>recommend</w:t>
      </w:r>
      <w:r>
        <w:rPr>
          <w:spacing w:val="-14"/>
        </w:rPr>
        <w:t xml:space="preserve"> </w:t>
      </w:r>
      <w:r>
        <w:t>it</w:t>
      </w:r>
      <w:r>
        <w:rPr>
          <w:spacing w:val="-13"/>
        </w:rPr>
        <w:t xml:space="preserve"> </w:t>
      </w:r>
      <w:r>
        <w:t>to</w:t>
      </w:r>
      <w:r>
        <w:rPr>
          <w:spacing w:val="-11"/>
        </w:rPr>
        <w:t xml:space="preserve"> </w:t>
      </w:r>
      <w:r>
        <w:t>the</w:t>
      </w:r>
      <w:r>
        <w:rPr>
          <w:spacing w:val="-14"/>
        </w:rPr>
        <w:t xml:space="preserve"> </w:t>
      </w:r>
      <w:r>
        <w:t>Board for approval and inclusion in the Company’s Annual Report and Accounts to shareholders. The report should include all information requirements set out in the UK Corporate Governance Code and any other relevant legislation and</w:t>
      </w:r>
      <w:r>
        <w:rPr>
          <w:spacing w:val="-21"/>
        </w:rPr>
        <w:t xml:space="preserve"> </w:t>
      </w:r>
      <w:r>
        <w:t>regulation.</w:t>
      </w:r>
    </w:p>
    <w:p w14:paraId="4327AC48" w14:textId="77777777" w:rsidR="00033ADF" w:rsidRDefault="00C17451">
      <w:pPr>
        <w:pStyle w:val="ListParagraph"/>
        <w:numPr>
          <w:ilvl w:val="1"/>
          <w:numId w:val="4"/>
        </w:numPr>
        <w:tabs>
          <w:tab w:val="left" w:pos="682"/>
        </w:tabs>
        <w:spacing w:line="259" w:lineRule="auto"/>
        <w:ind w:right="112"/>
        <w:jc w:val="both"/>
      </w:pPr>
      <w:r>
        <w:t>The</w:t>
      </w:r>
      <w:r>
        <w:rPr>
          <w:spacing w:val="-5"/>
        </w:rPr>
        <w:t xml:space="preserve"> </w:t>
      </w:r>
      <w:r>
        <w:t>Committee</w:t>
      </w:r>
      <w:r>
        <w:rPr>
          <w:spacing w:val="-7"/>
        </w:rPr>
        <w:t xml:space="preserve"> </w:t>
      </w:r>
      <w:r>
        <w:t>shall</w:t>
      </w:r>
      <w:r>
        <w:rPr>
          <w:spacing w:val="-5"/>
        </w:rPr>
        <w:t xml:space="preserve"> </w:t>
      </w:r>
      <w:r>
        <w:t>be</w:t>
      </w:r>
      <w:r>
        <w:rPr>
          <w:spacing w:val="-4"/>
        </w:rPr>
        <w:t xml:space="preserve"> </w:t>
      </w:r>
      <w:r>
        <w:t>provided</w:t>
      </w:r>
      <w:r>
        <w:rPr>
          <w:spacing w:val="-2"/>
        </w:rPr>
        <w:t xml:space="preserve"> </w:t>
      </w:r>
      <w:r>
        <w:t>with</w:t>
      </w:r>
      <w:r>
        <w:rPr>
          <w:spacing w:val="-5"/>
        </w:rPr>
        <w:t xml:space="preserve"> </w:t>
      </w:r>
      <w:r>
        <w:t>appropriate</w:t>
      </w:r>
      <w:r>
        <w:rPr>
          <w:spacing w:val="-4"/>
        </w:rPr>
        <w:t xml:space="preserve"> </w:t>
      </w:r>
      <w:r>
        <w:t>and</w:t>
      </w:r>
      <w:r>
        <w:rPr>
          <w:spacing w:val="-4"/>
        </w:rPr>
        <w:t xml:space="preserve"> </w:t>
      </w:r>
      <w:r>
        <w:t>timely</w:t>
      </w:r>
      <w:r>
        <w:rPr>
          <w:spacing w:val="-6"/>
        </w:rPr>
        <w:t xml:space="preserve"> </w:t>
      </w:r>
      <w:r>
        <w:t>training,</w:t>
      </w:r>
      <w:r>
        <w:rPr>
          <w:spacing w:val="-5"/>
        </w:rPr>
        <w:t xml:space="preserve"> </w:t>
      </w:r>
      <w:r>
        <w:t>in</w:t>
      </w:r>
      <w:r>
        <w:rPr>
          <w:spacing w:val="-5"/>
        </w:rPr>
        <w:t xml:space="preserve"> </w:t>
      </w:r>
      <w:r>
        <w:t>the</w:t>
      </w:r>
      <w:r>
        <w:rPr>
          <w:spacing w:val="-7"/>
        </w:rPr>
        <w:t xml:space="preserve"> </w:t>
      </w:r>
      <w:r>
        <w:t>form</w:t>
      </w:r>
      <w:r>
        <w:rPr>
          <w:spacing w:val="-3"/>
        </w:rPr>
        <w:t xml:space="preserve"> </w:t>
      </w:r>
      <w:r>
        <w:t>of</w:t>
      </w:r>
      <w:r>
        <w:rPr>
          <w:spacing w:val="-3"/>
        </w:rPr>
        <w:t xml:space="preserve"> </w:t>
      </w:r>
      <w:r>
        <w:t>an induction programme for new members and on an ongoing basis for all</w:t>
      </w:r>
      <w:r>
        <w:rPr>
          <w:spacing w:val="-30"/>
        </w:rPr>
        <w:t xml:space="preserve"> </w:t>
      </w:r>
      <w:r>
        <w:t>members.</w:t>
      </w:r>
    </w:p>
    <w:p w14:paraId="640915F4" w14:textId="77777777" w:rsidR="00033ADF" w:rsidRDefault="00033ADF">
      <w:pPr>
        <w:pStyle w:val="BodyText"/>
        <w:spacing w:before="6"/>
        <w:ind w:left="0" w:firstLine="0"/>
        <w:jc w:val="left"/>
        <w:rPr>
          <w:sz w:val="21"/>
        </w:rPr>
      </w:pPr>
    </w:p>
    <w:p w14:paraId="4B9C1CA3" w14:textId="77777777" w:rsidR="00033ADF" w:rsidRDefault="00C17451">
      <w:pPr>
        <w:pStyle w:val="Heading1"/>
        <w:numPr>
          <w:ilvl w:val="0"/>
          <w:numId w:val="3"/>
        </w:numPr>
        <w:tabs>
          <w:tab w:val="left" w:pos="682"/>
        </w:tabs>
        <w:jc w:val="both"/>
      </w:pPr>
      <w:r>
        <w:t>Purpose and</w:t>
      </w:r>
      <w:r>
        <w:rPr>
          <w:spacing w:val="3"/>
        </w:rPr>
        <w:t xml:space="preserve"> </w:t>
      </w:r>
      <w:r>
        <w:t>Authority</w:t>
      </w:r>
    </w:p>
    <w:p w14:paraId="3F0381BD" w14:textId="77777777" w:rsidR="00033ADF" w:rsidRDefault="00C17451">
      <w:pPr>
        <w:pStyle w:val="ListParagraph"/>
        <w:numPr>
          <w:ilvl w:val="1"/>
          <w:numId w:val="3"/>
        </w:numPr>
        <w:tabs>
          <w:tab w:val="left" w:pos="682"/>
        </w:tabs>
        <w:spacing w:before="2"/>
        <w:jc w:val="both"/>
      </w:pPr>
      <w:r>
        <w:t>In fulfilling its duties, the Committee is further authorised by the Board</w:t>
      </w:r>
      <w:r>
        <w:rPr>
          <w:spacing w:val="-20"/>
        </w:rPr>
        <w:t xml:space="preserve"> </w:t>
      </w:r>
      <w:r>
        <w:t>to:</w:t>
      </w:r>
    </w:p>
    <w:p w14:paraId="0495186A" w14:textId="77777777" w:rsidR="00033ADF" w:rsidRDefault="00C17451">
      <w:pPr>
        <w:pStyle w:val="ListParagraph"/>
        <w:numPr>
          <w:ilvl w:val="2"/>
          <w:numId w:val="3"/>
        </w:numPr>
        <w:tabs>
          <w:tab w:val="left" w:pos="1393"/>
        </w:tabs>
        <w:spacing w:before="179" w:line="252" w:lineRule="exact"/>
        <w:ind w:hanging="712"/>
        <w:jc w:val="both"/>
      </w:pPr>
      <w:r>
        <w:t>investigate any activity within its Terms of</w:t>
      </w:r>
      <w:r>
        <w:rPr>
          <w:spacing w:val="-4"/>
        </w:rPr>
        <w:t xml:space="preserve"> </w:t>
      </w:r>
      <w:r>
        <w:t>Reference;</w:t>
      </w:r>
    </w:p>
    <w:p w14:paraId="66D64B6F" w14:textId="77777777" w:rsidR="00033ADF" w:rsidRDefault="00C17451">
      <w:pPr>
        <w:pStyle w:val="ListParagraph"/>
        <w:numPr>
          <w:ilvl w:val="2"/>
          <w:numId w:val="3"/>
        </w:numPr>
        <w:tabs>
          <w:tab w:val="left" w:pos="1393"/>
        </w:tabs>
        <w:ind w:right="109"/>
        <w:jc w:val="both"/>
      </w:pPr>
      <w:r>
        <w:t>seek any information that it requires from any employee or contractor of the Company; to this end all employees and contractors are directed to co-operate with any request made by the</w:t>
      </w:r>
      <w:r>
        <w:rPr>
          <w:spacing w:val="-9"/>
        </w:rPr>
        <w:t xml:space="preserve"> </w:t>
      </w:r>
      <w:r>
        <w:t>Committee;</w:t>
      </w:r>
    </w:p>
    <w:p w14:paraId="4618D29E" w14:textId="77777777" w:rsidR="00033ADF" w:rsidRDefault="00C17451">
      <w:pPr>
        <w:pStyle w:val="ListParagraph"/>
        <w:numPr>
          <w:ilvl w:val="2"/>
          <w:numId w:val="3"/>
        </w:numPr>
        <w:tabs>
          <w:tab w:val="left" w:pos="1393"/>
        </w:tabs>
        <w:spacing w:before="1" w:line="252" w:lineRule="exact"/>
        <w:ind w:hanging="712"/>
        <w:jc w:val="both"/>
      </w:pPr>
      <w:r>
        <w:t>have unrestricted access to Company documents and information;</w:t>
      </w:r>
      <w:r>
        <w:rPr>
          <w:spacing w:val="-17"/>
        </w:rPr>
        <w:t xml:space="preserve"> </w:t>
      </w:r>
      <w:r>
        <w:t>and</w:t>
      </w:r>
    </w:p>
    <w:p w14:paraId="4154C373" w14:textId="77777777" w:rsidR="00033ADF" w:rsidRDefault="00C17451">
      <w:pPr>
        <w:pStyle w:val="ListParagraph"/>
        <w:numPr>
          <w:ilvl w:val="2"/>
          <w:numId w:val="3"/>
        </w:numPr>
        <w:tabs>
          <w:tab w:val="left" w:pos="1393"/>
        </w:tabs>
        <w:ind w:right="115"/>
        <w:jc w:val="both"/>
      </w:pPr>
      <w:r>
        <w:t>obtain outside legal or independent professional advice in accordance with the Company’s policy and secure the attendance of outsiders with relevant experience and expertise at Committee meetings if it considers this necessary. In</w:t>
      </w:r>
      <w:r>
        <w:rPr>
          <w:spacing w:val="-15"/>
        </w:rPr>
        <w:t xml:space="preserve"> </w:t>
      </w:r>
      <w:r>
        <w:t>particular,</w:t>
      </w:r>
      <w:r>
        <w:rPr>
          <w:spacing w:val="-16"/>
        </w:rPr>
        <w:t xml:space="preserve"> </w:t>
      </w:r>
      <w:r>
        <w:t>the</w:t>
      </w:r>
      <w:r>
        <w:rPr>
          <w:spacing w:val="-15"/>
        </w:rPr>
        <w:t xml:space="preserve"> </w:t>
      </w:r>
      <w:r>
        <w:t>Committee</w:t>
      </w:r>
      <w:r>
        <w:rPr>
          <w:spacing w:val="-15"/>
        </w:rPr>
        <w:t xml:space="preserve"> </w:t>
      </w:r>
      <w:r>
        <w:t>is</w:t>
      </w:r>
      <w:r>
        <w:rPr>
          <w:spacing w:val="-14"/>
        </w:rPr>
        <w:t xml:space="preserve"> </w:t>
      </w:r>
      <w:r>
        <w:t>authorised</w:t>
      </w:r>
      <w:r>
        <w:rPr>
          <w:spacing w:val="-16"/>
        </w:rPr>
        <w:t xml:space="preserve"> </w:t>
      </w:r>
      <w:r>
        <w:t>to</w:t>
      </w:r>
      <w:r>
        <w:rPr>
          <w:spacing w:val="-15"/>
        </w:rPr>
        <w:t xml:space="preserve"> </w:t>
      </w:r>
      <w:r>
        <w:t>consult</w:t>
      </w:r>
      <w:r>
        <w:rPr>
          <w:spacing w:val="-13"/>
        </w:rPr>
        <w:t xml:space="preserve"> </w:t>
      </w:r>
      <w:r>
        <w:t>with</w:t>
      </w:r>
      <w:r>
        <w:rPr>
          <w:spacing w:val="-15"/>
        </w:rPr>
        <w:t xml:space="preserve"> </w:t>
      </w:r>
      <w:r>
        <w:t>the</w:t>
      </w:r>
      <w:r>
        <w:rPr>
          <w:spacing w:val="-15"/>
        </w:rPr>
        <w:t xml:space="preserve"> </w:t>
      </w:r>
      <w:r>
        <w:t>Company’s</w:t>
      </w:r>
      <w:r>
        <w:rPr>
          <w:spacing w:val="-14"/>
        </w:rPr>
        <w:t xml:space="preserve"> </w:t>
      </w:r>
      <w:r>
        <w:t>lawyers and corporate brokers, when appropriate, to assess whether information is price-sensitive.</w:t>
      </w:r>
    </w:p>
    <w:p w14:paraId="6BDAFAA0" w14:textId="77777777" w:rsidR="00033ADF" w:rsidRDefault="00033ADF">
      <w:pPr>
        <w:pStyle w:val="BodyText"/>
        <w:spacing w:before="2"/>
        <w:ind w:left="0" w:firstLine="0"/>
        <w:jc w:val="left"/>
      </w:pPr>
    </w:p>
    <w:p w14:paraId="4ACDC2E3" w14:textId="77777777" w:rsidR="00033ADF" w:rsidRDefault="00C17451">
      <w:pPr>
        <w:pStyle w:val="Heading1"/>
        <w:numPr>
          <w:ilvl w:val="0"/>
          <w:numId w:val="3"/>
        </w:numPr>
        <w:tabs>
          <w:tab w:val="left" w:pos="682"/>
        </w:tabs>
        <w:jc w:val="both"/>
      </w:pPr>
      <w:r>
        <w:t>Duties</w:t>
      </w:r>
    </w:p>
    <w:p w14:paraId="52BA548E" w14:textId="77777777" w:rsidR="00033ADF" w:rsidRDefault="00C17451">
      <w:pPr>
        <w:pStyle w:val="ListParagraph"/>
        <w:numPr>
          <w:ilvl w:val="1"/>
          <w:numId w:val="3"/>
        </w:numPr>
        <w:tabs>
          <w:tab w:val="left" w:pos="682"/>
        </w:tabs>
        <w:spacing w:before="18"/>
        <w:ind w:right="113"/>
        <w:jc w:val="both"/>
      </w:pPr>
      <w:r>
        <w:t>The principal role of the Committee is to ensure that adequate procedures, systems and controls are maintained to enable the Company to fully comply with its obligations regarding</w:t>
      </w:r>
      <w:r>
        <w:rPr>
          <w:spacing w:val="-12"/>
        </w:rPr>
        <w:t xml:space="preserve"> </w:t>
      </w:r>
      <w:r>
        <w:t>the</w:t>
      </w:r>
      <w:r>
        <w:rPr>
          <w:spacing w:val="-15"/>
        </w:rPr>
        <w:t xml:space="preserve"> </w:t>
      </w:r>
      <w:r>
        <w:t>timely</w:t>
      </w:r>
      <w:r>
        <w:rPr>
          <w:spacing w:val="-13"/>
        </w:rPr>
        <w:t xml:space="preserve"> </w:t>
      </w:r>
      <w:r>
        <w:t>and</w:t>
      </w:r>
      <w:r>
        <w:rPr>
          <w:spacing w:val="-12"/>
        </w:rPr>
        <w:t xml:space="preserve"> </w:t>
      </w:r>
      <w:r>
        <w:t>accurate</w:t>
      </w:r>
      <w:r>
        <w:rPr>
          <w:spacing w:val="-14"/>
        </w:rPr>
        <w:t xml:space="preserve"> </w:t>
      </w:r>
      <w:r>
        <w:t>identification</w:t>
      </w:r>
      <w:r>
        <w:rPr>
          <w:spacing w:val="-15"/>
        </w:rPr>
        <w:t xml:space="preserve"> </w:t>
      </w:r>
      <w:r>
        <w:t>and</w:t>
      </w:r>
      <w:r>
        <w:rPr>
          <w:spacing w:val="-11"/>
        </w:rPr>
        <w:t xml:space="preserve"> </w:t>
      </w:r>
      <w:r>
        <w:t>disclosure</w:t>
      </w:r>
      <w:r>
        <w:rPr>
          <w:spacing w:val="-12"/>
        </w:rPr>
        <w:t xml:space="preserve"> </w:t>
      </w:r>
      <w:r>
        <w:t>of</w:t>
      </w:r>
      <w:r>
        <w:rPr>
          <w:spacing w:val="-11"/>
        </w:rPr>
        <w:t xml:space="preserve"> </w:t>
      </w:r>
      <w:r>
        <w:t>all</w:t>
      </w:r>
      <w:r>
        <w:rPr>
          <w:spacing w:val="-12"/>
        </w:rPr>
        <w:t xml:space="preserve"> </w:t>
      </w:r>
      <w:r>
        <w:t>information</w:t>
      </w:r>
      <w:r>
        <w:rPr>
          <w:spacing w:val="-12"/>
        </w:rPr>
        <w:t xml:space="preserve"> </w:t>
      </w:r>
      <w:r>
        <w:t>to</w:t>
      </w:r>
      <w:r>
        <w:rPr>
          <w:spacing w:val="-15"/>
        </w:rPr>
        <w:t xml:space="preserve"> </w:t>
      </w:r>
      <w:r>
        <w:t>meet the</w:t>
      </w:r>
      <w:r>
        <w:rPr>
          <w:spacing w:val="-7"/>
        </w:rPr>
        <w:t xml:space="preserve"> </w:t>
      </w:r>
      <w:r>
        <w:t>legal</w:t>
      </w:r>
      <w:r>
        <w:rPr>
          <w:spacing w:val="-7"/>
        </w:rPr>
        <w:t xml:space="preserve"> </w:t>
      </w:r>
      <w:r>
        <w:t>and</w:t>
      </w:r>
      <w:r>
        <w:rPr>
          <w:spacing w:val="-10"/>
        </w:rPr>
        <w:t xml:space="preserve"> </w:t>
      </w:r>
      <w:r>
        <w:t>regulatory</w:t>
      </w:r>
      <w:r>
        <w:rPr>
          <w:spacing w:val="-11"/>
        </w:rPr>
        <w:t xml:space="preserve"> </w:t>
      </w:r>
      <w:r>
        <w:t>obligations</w:t>
      </w:r>
      <w:r>
        <w:rPr>
          <w:spacing w:val="-6"/>
        </w:rPr>
        <w:t xml:space="preserve"> </w:t>
      </w:r>
      <w:r>
        <w:t>and</w:t>
      </w:r>
      <w:r>
        <w:rPr>
          <w:spacing w:val="-9"/>
        </w:rPr>
        <w:t xml:space="preserve"> </w:t>
      </w:r>
      <w:r>
        <w:t>requirements</w:t>
      </w:r>
      <w:r>
        <w:rPr>
          <w:spacing w:val="-7"/>
        </w:rPr>
        <w:t xml:space="preserve"> </w:t>
      </w:r>
      <w:r>
        <w:t>arising</w:t>
      </w:r>
      <w:r>
        <w:rPr>
          <w:spacing w:val="-6"/>
        </w:rPr>
        <w:t xml:space="preserve"> </w:t>
      </w:r>
      <w:r>
        <w:t>under</w:t>
      </w:r>
      <w:r>
        <w:rPr>
          <w:spacing w:val="-9"/>
        </w:rPr>
        <w:t xml:space="preserve"> </w:t>
      </w:r>
      <w:r>
        <w:t>the</w:t>
      </w:r>
      <w:r>
        <w:rPr>
          <w:spacing w:val="-9"/>
        </w:rPr>
        <w:t xml:space="preserve"> </w:t>
      </w:r>
      <w:r>
        <w:t>Companies</w:t>
      </w:r>
      <w:r>
        <w:rPr>
          <w:spacing w:val="-6"/>
        </w:rPr>
        <w:t xml:space="preserve"> </w:t>
      </w:r>
      <w:r>
        <w:t>Act 2006, Financial Conduct Authority’s (‘FCA’) Listing Rules and continuing obligations (‘LR’), Disclosure Guidance and Transparency Rules (‘DGTR’) and the EU Market Abuse Regulations (Regulation 596/2014)</w:t>
      </w:r>
      <w:r>
        <w:rPr>
          <w:spacing w:val="-2"/>
        </w:rPr>
        <w:t xml:space="preserve"> </w:t>
      </w:r>
      <w:r>
        <w:t>(‘MAR’).</w:t>
      </w:r>
    </w:p>
    <w:p w14:paraId="514AC079" w14:textId="77777777" w:rsidR="00033ADF" w:rsidRDefault="00C17451">
      <w:pPr>
        <w:pStyle w:val="ListParagraph"/>
        <w:numPr>
          <w:ilvl w:val="1"/>
          <w:numId w:val="3"/>
        </w:numPr>
        <w:tabs>
          <w:tab w:val="left" w:pos="681"/>
        </w:tabs>
        <w:spacing w:line="259" w:lineRule="auto"/>
        <w:ind w:left="680" w:right="112"/>
        <w:jc w:val="both"/>
      </w:pPr>
      <w:r>
        <w:t>In addition, the Company has a range of other obligations, responsibilities, powers, authorities and discretions relating to the disclosure of information, particularly to draw up and maintain procedures, systems and controls for the identification, treatment and disclosure of inside information and for complying with other disclosure obligations falling on the Company under the FCA’s LR and DGTR, and the EU</w:t>
      </w:r>
      <w:r>
        <w:rPr>
          <w:spacing w:val="-14"/>
        </w:rPr>
        <w:t xml:space="preserve"> </w:t>
      </w:r>
      <w:r>
        <w:t>MAR.</w:t>
      </w:r>
    </w:p>
    <w:p w14:paraId="3BC6C995" w14:textId="77777777" w:rsidR="00033ADF" w:rsidRDefault="00C17451">
      <w:pPr>
        <w:pStyle w:val="ListParagraph"/>
        <w:numPr>
          <w:ilvl w:val="1"/>
          <w:numId w:val="3"/>
        </w:numPr>
        <w:tabs>
          <w:tab w:val="left" w:pos="681"/>
        </w:tabs>
        <w:spacing w:line="259" w:lineRule="auto"/>
        <w:ind w:left="680" w:right="115"/>
        <w:jc w:val="both"/>
      </w:pPr>
      <w:r>
        <w:t>Keeping under review the adequacy of the Disclosure and Communications Policies (‘Policies’) which deal with the identification, control and release of inside information, and</w:t>
      </w:r>
      <w:r>
        <w:rPr>
          <w:spacing w:val="-5"/>
        </w:rPr>
        <w:t xml:space="preserve"> </w:t>
      </w:r>
      <w:r>
        <w:t>any</w:t>
      </w:r>
      <w:r>
        <w:rPr>
          <w:spacing w:val="-6"/>
        </w:rPr>
        <w:t xml:space="preserve"> </w:t>
      </w:r>
      <w:r>
        <w:t>areas</w:t>
      </w:r>
      <w:r>
        <w:rPr>
          <w:spacing w:val="-6"/>
        </w:rPr>
        <w:t xml:space="preserve"> </w:t>
      </w:r>
      <w:r>
        <w:t>falling</w:t>
      </w:r>
      <w:r>
        <w:rPr>
          <w:spacing w:val="-3"/>
        </w:rPr>
        <w:t xml:space="preserve"> </w:t>
      </w:r>
      <w:r>
        <w:t>within</w:t>
      </w:r>
      <w:r>
        <w:rPr>
          <w:spacing w:val="-4"/>
        </w:rPr>
        <w:t xml:space="preserve"> </w:t>
      </w:r>
      <w:r>
        <w:t>the</w:t>
      </w:r>
      <w:r>
        <w:rPr>
          <w:spacing w:val="-5"/>
        </w:rPr>
        <w:t xml:space="preserve"> </w:t>
      </w:r>
      <w:r>
        <w:t>Policies,</w:t>
      </w:r>
      <w:r>
        <w:rPr>
          <w:spacing w:val="-3"/>
        </w:rPr>
        <w:t xml:space="preserve"> </w:t>
      </w:r>
      <w:r>
        <w:t>and</w:t>
      </w:r>
      <w:r>
        <w:rPr>
          <w:spacing w:val="-7"/>
        </w:rPr>
        <w:t xml:space="preserve"> </w:t>
      </w:r>
      <w:r>
        <w:t>recommending</w:t>
      </w:r>
      <w:r>
        <w:rPr>
          <w:spacing w:val="-3"/>
        </w:rPr>
        <w:t xml:space="preserve"> </w:t>
      </w:r>
      <w:r>
        <w:t>any</w:t>
      </w:r>
      <w:r>
        <w:rPr>
          <w:spacing w:val="-6"/>
        </w:rPr>
        <w:t xml:space="preserve"> </w:t>
      </w:r>
      <w:r>
        <w:t>changes</w:t>
      </w:r>
      <w:r>
        <w:rPr>
          <w:spacing w:val="-6"/>
        </w:rPr>
        <w:t xml:space="preserve"> </w:t>
      </w:r>
      <w:r>
        <w:t>to</w:t>
      </w:r>
      <w:r>
        <w:rPr>
          <w:spacing w:val="-5"/>
        </w:rPr>
        <w:t xml:space="preserve"> </w:t>
      </w:r>
      <w:r>
        <w:t>the</w:t>
      </w:r>
      <w:r>
        <w:rPr>
          <w:spacing w:val="-4"/>
        </w:rPr>
        <w:t xml:space="preserve"> </w:t>
      </w:r>
      <w:r>
        <w:t>Board for</w:t>
      </w:r>
      <w:r>
        <w:rPr>
          <w:spacing w:val="-2"/>
        </w:rPr>
        <w:t xml:space="preserve"> </w:t>
      </w:r>
      <w:r>
        <w:t>approval.</w:t>
      </w:r>
    </w:p>
    <w:p w14:paraId="54303AFC" w14:textId="77777777" w:rsidR="00033ADF" w:rsidRDefault="00C17451">
      <w:pPr>
        <w:pStyle w:val="ListParagraph"/>
        <w:numPr>
          <w:ilvl w:val="1"/>
          <w:numId w:val="3"/>
        </w:numPr>
        <w:tabs>
          <w:tab w:val="left" w:pos="681"/>
        </w:tabs>
        <w:spacing w:line="259" w:lineRule="auto"/>
        <w:ind w:left="680" w:right="115"/>
        <w:jc w:val="both"/>
      </w:pPr>
      <w:r>
        <w:t>Determining whether information, including information submitted to it under the Policies:</w:t>
      </w:r>
    </w:p>
    <w:p w14:paraId="5953B7ED" w14:textId="77777777" w:rsidR="00033ADF" w:rsidRDefault="00C17451">
      <w:pPr>
        <w:pStyle w:val="ListParagraph"/>
        <w:numPr>
          <w:ilvl w:val="0"/>
          <w:numId w:val="2"/>
        </w:numPr>
        <w:tabs>
          <w:tab w:val="left" w:pos="967"/>
        </w:tabs>
        <w:spacing w:line="251" w:lineRule="exact"/>
        <w:ind w:hanging="287"/>
      </w:pPr>
      <w:r>
        <w:t>is material;</w:t>
      </w:r>
    </w:p>
    <w:p w14:paraId="7BC3EBE4" w14:textId="77777777" w:rsidR="00033ADF" w:rsidRDefault="00C17451">
      <w:pPr>
        <w:pStyle w:val="ListParagraph"/>
        <w:numPr>
          <w:ilvl w:val="0"/>
          <w:numId w:val="2"/>
        </w:numPr>
        <w:tabs>
          <w:tab w:val="left" w:pos="967"/>
        </w:tabs>
        <w:spacing w:line="252" w:lineRule="exact"/>
        <w:ind w:hanging="287"/>
      </w:pPr>
      <w:r>
        <w:t>requires immediate</w:t>
      </w:r>
      <w:r>
        <w:rPr>
          <w:spacing w:val="-2"/>
        </w:rPr>
        <w:t xml:space="preserve"> </w:t>
      </w:r>
      <w:r>
        <w:t>disclosure;</w:t>
      </w:r>
    </w:p>
    <w:p w14:paraId="263D8024" w14:textId="77777777" w:rsidR="00033ADF" w:rsidRDefault="00C17451">
      <w:pPr>
        <w:pStyle w:val="ListParagraph"/>
        <w:numPr>
          <w:ilvl w:val="0"/>
          <w:numId w:val="2"/>
        </w:numPr>
        <w:tabs>
          <w:tab w:val="left" w:pos="967"/>
        </w:tabs>
        <w:ind w:right="113"/>
      </w:pPr>
      <w:r>
        <w:t>meets the requirements to enable the Company to delay disclosure (where immediate disclosure would prejudice the Company’s legitimate interests, if withholding</w:t>
      </w:r>
      <w:r>
        <w:rPr>
          <w:spacing w:val="-8"/>
        </w:rPr>
        <w:t xml:space="preserve"> </w:t>
      </w:r>
      <w:r>
        <w:t>the</w:t>
      </w:r>
      <w:r>
        <w:rPr>
          <w:spacing w:val="-9"/>
        </w:rPr>
        <w:t xml:space="preserve"> </w:t>
      </w:r>
      <w:r>
        <w:t>information</w:t>
      </w:r>
      <w:r>
        <w:rPr>
          <w:spacing w:val="-10"/>
        </w:rPr>
        <w:t xml:space="preserve"> </w:t>
      </w:r>
      <w:r>
        <w:t>will</w:t>
      </w:r>
      <w:r>
        <w:rPr>
          <w:spacing w:val="-10"/>
        </w:rPr>
        <w:t xml:space="preserve"> </w:t>
      </w:r>
      <w:r>
        <w:t>not</w:t>
      </w:r>
      <w:r>
        <w:rPr>
          <w:spacing w:val="-8"/>
        </w:rPr>
        <w:t xml:space="preserve"> </w:t>
      </w:r>
      <w:r>
        <w:t>mislead</w:t>
      </w:r>
      <w:r>
        <w:rPr>
          <w:spacing w:val="-10"/>
        </w:rPr>
        <w:t xml:space="preserve"> </w:t>
      </w:r>
      <w:r>
        <w:t>the</w:t>
      </w:r>
      <w:r>
        <w:rPr>
          <w:spacing w:val="-10"/>
        </w:rPr>
        <w:t xml:space="preserve"> </w:t>
      </w:r>
      <w:r>
        <w:t>public,</w:t>
      </w:r>
      <w:r>
        <w:rPr>
          <w:spacing w:val="-8"/>
        </w:rPr>
        <w:t xml:space="preserve"> </w:t>
      </w:r>
      <w:r>
        <w:t>and</w:t>
      </w:r>
      <w:r>
        <w:rPr>
          <w:spacing w:val="-10"/>
        </w:rPr>
        <w:t xml:space="preserve"> </w:t>
      </w:r>
      <w:r>
        <w:t>the</w:t>
      </w:r>
      <w:r>
        <w:rPr>
          <w:spacing w:val="-9"/>
        </w:rPr>
        <w:t xml:space="preserve"> </w:t>
      </w:r>
      <w:r>
        <w:t>Company</w:t>
      </w:r>
      <w:r>
        <w:rPr>
          <w:spacing w:val="-12"/>
        </w:rPr>
        <w:t xml:space="preserve"> </w:t>
      </w:r>
      <w:r>
        <w:t>can</w:t>
      </w:r>
      <w:r>
        <w:rPr>
          <w:spacing w:val="-10"/>
        </w:rPr>
        <w:t xml:space="preserve"> </w:t>
      </w:r>
      <w:r>
        <w:t>ensure confidentiality);</w:t>
      </w:r>
      <w:r>
        <w:rPr>
          <w:spacing w:val="1"/>
        </w:rPr>
        <w:t xml:space="preserve"> </w:t>
      </w:r>
      <w:r>
        <w:t>and</w:t>
      </w:r>
    </w:p>
    <w:p w14:paraId="2069B7BA" w14:textId="77777777" w:rsidR="00033ADF" w:rsidRDefault="00033ADF">
      <w:pPr>
        <w:jc w:val="both"/>
        <w:sectPr w:rsidR="00033ADF">
          <w:headerReference w:type="default" r:id="rId7"/>
          <w:footerReference w:type="default" r:id="rId8"/>
          <w:pgSz w:w="11910" w:h="16850"/>
          <w:pgMar w:top="1580" w:right="1300" w:bottom="940" w:left="1420" w:header="456" w:footer="751" w:gutter="0"/>
          <w:cols w:space="720"/>
        </w:sectPr>
      </w:pPr>
    </w:p>
    <w:p w14:paraId="12BA1B76" w14:textId="77777777" w:rsidR="00033ADF" w:rsidRDefault="00C17451">
      <w:pPr>
        <w:pStyle w:val="ListParagraph"/>
        <w:numPr>
          <w:ilvl w:val="0"/>
          <w:numId w:val="2"/>
        </w:numPr>
        <w:tabs>
          <w:tab w:val="left" w:pos="969"/>
        </w:tabs>
        <w:spacing w:before="83" w:line="259" w:lineRule="auto"/>
        <w:ind w:left="968" w:right="112"/>
      </w:pPr>
      <w:r>
        <w:lastRenderedPageBreak/>
        <w:t>where the disclosure can be delayed, continue to monitor and record the delay procedure, and consider whether it is permissible to disclose such information selectively to third parties (if the recipient of the information owes a duty of confidentiality).</w:t>
      </w:r>
    </w:p>
    <w:p w14:paraId="08BC3CE3" w14:textId="77777777" w:rsidR="00033ADF" w:rsidRDefault="00C17451">
      <w:pPr>
        <w:pStyle w:val="ListParagraph"/>
        <w:numPr>
          <w:ilvl w:val="1"/>
          <w:numId w:val="3"/>
        </w:numPr>
        <w:tabs>
          <w:tab w:val="left" w:pos="682"/>
          <w:tab w:val="left" w:pos="683"/>
        </w:tabs>
        <w:spacing w:line="256" w:lineRule="auto"/>
        <w:ind w:left="682" w:right="113"/>
      </w:pPr>
      <w:r>
        <w:t>Determine any other issue relating to the application of the Policies that is required to be submitted to it for</w:t>
      </w:r>
      <w:r>
        <w:rPr>
          <w:spacing w:val="-7"/>
        </w:rPr>
        <w:t xml:space="preserve"> </w:t>
      </w:r>
      <w:r>
        <w:t>determination.</w:t>
      </w:r>
    </w:p>
    <w:p w14:paraId="38787ABA" w14:textId="77777777" w:rsidR="00033ADF" w:rsidRDefault="00C17451">
      <w:pPr>
        <w:pStyle w:val="ListParagraph"/>
        <w:numPr>
          <w:ilvl w:val="1"/>
          <w:numId w:val="3"/>
        </w:numPr>
        <w:tabs>
          <w:tab w:val="left" w:pos="682"/>
          <w:tab w:val="left" w:pos="683"/>
        </w:tabs>
        <w:spacing w:before="3" w:line="259" w:lineRule="auto"/>
        <w:ind w:left="682" w:right="114"/>
      </w:pPr>
      <w:r>
        <w:t>Assessing relevant and substantive market rumours or speculation concerning the Group and determining whether any response should be</w:t>
      </w:r>
      <w:r>
        <w:rPr>
          <w:spacing w:val="-11"/>
        </w:rPr>
        <w:t xml:space="preserve"> </w:t>
      </w:r>
      <w:r>
        <w:t>made.</w:t>
      </w:r>
    </w:p>
    <w:p w14:paraId="0108F622" w14:textId="77777777" w:rsidR="00033ADF" w:rsidRDefault="00C17451">
      <w:pPr>
        <w:pStyle w:val="ListParagraph"/>
        <w:numPr>
          <w:ilvl w:val="1"/>
          <w:numId w:val="3"/>
        </w:numPr>
        <w:tabs>
          <w:tab w:val="left" w:pos="682"/>
          <w:tab w:val="left" w:pos="683"/>
        </w:tabs>
        <w:ind w:left="682"/>
      </w:pPr>
      <w:r>
        <w:t>Identifying inside information for the purposes of maintaining the insider</w:t>
      </w:r>
      <w:r>
        <w:rPr>
          <w:spacing w:val="-17"/>
        </w:rPr>
        <w:t xml:space="preserve"> </w:t>
      </w:r>
      <w:r>
        <w:t>lists.</w:t>
      </w:r>
    </w:p>
    <w:p w14:paraId="4FD7318B" w14:textId="77777777" w:rsidR="00033ADF" w:rsidRDefault="00C17451">
      <w:pPr>
        <w:pStyle w:val="ListParagraph"/>
        <w:numPr>
          <w:ilvl w:val="1"/>
          <w:numId w:val="3"/>
        </w:numPr>
        <w:tabs>
          <w:tab w:val="left" w:pos="682"/>
          <w:tab w:val="left" w:pos="683"/>
        </w:tabs>
        <w:spacing w:before="18" w:line="259" w:lineRule="auto"/>
        <w:ind w:left="682" w:right="114"/>
      </w:pPr>
      <w:r>
        <w:t>Implementing</w:t>
      </w:r>
      <w:r>
        <w:rPr>
          <w:spacing w:val="-12"/>
        </w:rPr>
        <w:t xml:space="preserve"> </w:t>
      </w:r>
      <w:r>
        <w:t>and</w:t>
      </w:r>
      <w:r>
        <w:rPr>
          <w:spacing w:val="-17"/>
        </w:rPr>
        <w:t xml:space="preserve"> </w:t>
      </w:r>
      <w:r>
        <w:t>monitoring</w:t>
      </w:r>
      <w:r>
        <w:rPr>
          <w:spacing w:val="-13"/>
        </w:rPr>
        <w:t xml:space="preserve"> </w:t>
      </w:r>
      <w:r>
        <w:t>compliance</w:t>
      </w:r>
      <w:r>
        <w:rPr>
          <w:spacing w:val="-14"/>
        </w:rPr>
        <w:t xml:space="preserve"> </w:t>
      </w:r>
      <w:r>
        <w:t>with</w:t>
      </w:r>
      <w:r>
        <w:rPr>
          <w:spacing w:val="-14"/>
        </w:rPr>
        <w:t xml:space="preserve"> </w:t>
      </w:r>
      <w:r>
        <w:t>the</w:t>
      </w:r>
      <w:r>
        <w:rPr>
          <w:spacing w:val="-16"/>
        </w:rPr>
        <w:t xml:space="preserve"> </w:t>
      </w:r>
      <w:r>
        <w:t>Policies,</w:t>
      </w:r>
      <w:r>
        <w:rPr>
          <w:spacing w:val="-13"/>
        </w:rPr>
        <w:t xml:space="preserve"> </w:t>
      </w:r>
      <w:r>
        <w:t>including</w:t>
      </w:r>
      <w:r>
        <w:rPr>
          <w:spacing w:val="-12"/>
        </w:rPr>
        <w:t xml:space="preserve"> </w:t>
      </w:r>
      <w:r>
        <w:t>where</w:t>
      </w:r>
      <w:r>
        <w:rPr>
          <w:spacing w:val="-16"/>
        </w:rPr>
        <w:t xml:space="preserve"> </w:t>
      </w:r>
      <w:r>
        <w:t>appropriate arranging for the dissemination of guidelines and</w:t>
      </w:r>
      <w:r>
        <w:rPr>
          <w:spacing w:val="-9"/>
        </w:rPr>
        <w:t xml:space="preserve"> </w:t>
      </w:r>
      <w:r>
        <w:t>training.</w:t>
      </w:r>
    </w:p>
    <w:p w14:paraId="0D948E5F" w14:textId="77777777" w:rsidR="00033ADF" w:rsidRDefault="00C17451">
      <w:pPr>
        <w:pStyle w:val="ListParagraph"/>
        <w:numPr>
          <w:ilvl w:val="1"/>
          <w:numId w:val="3"/>
        </w:numPr>
        <w:tabs>
          <w:tab w:val="left" w:pos="682"/>
          <w:tab w:val="left" w:pos="683"/>
        </w:tabs>
        <w:spacing w:before="1" w:line="259" w:lineRule="auto"/>
        <w:ind w:left="682" w:right="115"/>
      </w:pPr>
      <w:r>
        <w:t>Monitoring</w:t>
      </w:r>
      <w:r>
        <w:rPr>
          <w:spacing w:val="-15"/>
        </w:rPr>
        <w:t xml:space="preserve"> </w:t>
      </w:r>
      <w:r>
        <w:t>communications</w:t>
      </w:r>
      <w:r>
        <w:rPr>
          <w:spacing w:val="-14"/>
        </w:rPr>
        <w:t xml:space="preserve"> </w:t>
      </w:r>
      <w:r>
        <w:t>received</w:t>
      </w:r>
      <w:r>
        <w:rPr>
          <w:spacing w:val="-17"/>
        </w:rPr>
        <w:t xml:space="preserve"> </w:t>
      </w:r>
      <w:r>
        <w:t>from</w:t>
      </w:r>
      <w:r>
        <w:rPr>
          <w:spacing w:val="-13"/>
        </w:rPr>
        <w:t xml:space="preserve"> </w:t>
      </w:r>
      <w:r>
        <w:t>any</w:t>
      </w:r>
      <w:r>
        <w:rPr>
          <w:spacing w:val="-18"/>
        </w:rPr>
        <w:t xml:space="preserve"> </w:t>
      </w:r>
      <w:r>
        <w:t>regulatory</w:t>
      </w:r>
      <w:r>
        <w:rPr>
          <w:spacing w:val="-17"/>
        </w:rPr>
        <w:t xml:space="preserve"> </w:t>
      </w:r>
      <w:r>
        <w:t>body</w:t>
      </w:r>
      <w:r>
        <w:rPr>
          <w:spacing w:val="-17"/>
        </w:rPr>
        <w:t xml:space="preserve"> </w:t>
      </w:r>
      <w:r>
        <w:t>in</w:t>
      </w:r>
      <w:r>
        <w:rPr>
          <w:spacing w:val="-14"/>
        </w:rPr>
        <w:t xml:space="preserve"> </w:t>
      </w:r>
      <w:r>
        <w:t>relation</w:t>
      </w:r>
      <w:r>
        <w:rPr>
          <w:spacing w:val="-17"/>
        </w:rPr>
        <w:t xml:space="preserve"> </w:t>
      </w:r>
      <w:r>
        <w:t>to</w:t>
      </w:r>
      <w:r>
        <w:rPr>
          <w:spacing w:val="-17"/>
        </w:rPr>
        <w:t xml:space="preserve"> </w:t>
      </w:r>
      <w:r>
        <w:t>the</w:t>
      </w:r>
      <w:r>
        <w:rPr>
          <w:spacing w:val="-16"/>
        </w:rPr>
        <w:t xml:space="preserve"> </w:t>
      </w:r>
      <w:r>
        <w:t>conduct of the Group and reviewing any proposed</w:t>
      </w:r>
      <w:r>
        <w:rPr>
          <w:spacing w:val="-4"/>
        </w:rPr>
        <w:t xml:space="preserve"> </w:t>
      </w:r>
      <w:r>
        <w:t>responses.</w:t>
      </w:r>
    </w:p>
    <w:p w14:paraId="17268E88" w14:textId="77777777" w:rsidR="00033ADF" w:rsidRDefault="00C17451">
      <w:pPr>
        <w:pStyle w:val="ListParagraph"/>
        <w:numPr>
          <w:ilvl w:val="1"/>
          <w:numId w:val="3"/>
        </w:numPr>
        <w:tabs>
          <w:tab w:val="left" w:pos="683"/>
        </w:tabs>
        <w:spacing w:line="259" w:lineRule="auto"/>
        <w:ind w:left="682" w:right="117"/>
      </w:pPr>
      <w:r>
        <w:t>Considering generally the requirement for announcements, including in the following circumstances:</w:t>
      </w:r>
    </w:p>
    <w:p w14:paraId="3D36BDD7" w14:textId="77777777" w:rsidR="00033ADF" w:rsidRDefault="00C17451">
      <w:pPr>
        <w:pStyle w:val="ListParagraph"/>
        <w:numPr>
          <w:ilvl w:val="0"/>
          <w:numId w:val="1"/>
        </w:numPr>
        <w:tabs>
          <w:tab w:val="left" w:pos="968"/>
          <w:tab w:val="left" w:pos="969"/>
        </w:tabs>
        <w:spacing w:line="251" w:lineRule="exact"/>
        <w:ind w:hanging="287"/>
        <w:jc w:val="left"/>
      </w:pPr>
      <w:r>
        <w:t>interim steps in a protracted process, e.g. a</w:t>
      </w:r>
      <w:r>
        <w:rPr>
          <w:spacing w:val="-6"/>
        </w:rPr>
        <w:t xml:space="preserve"> </w:t>
      </w:r>
      <w:r>
        <w:t>project;</w:t>
      </w:r>
    </w:p>
    <w:p w14:paraId="781DB10D" w14:textId="77777777" w:rsidR="00033ADF" w:rsidRDefault="00C17451">
      <w:pPr>
        <w:pStyle w:val="ListParagraph"/>
        <w:numPr>
          <w:ilvl w:val="0"/>
          <w:numId w:val="1"/>
        </w:numPr>
        <w:tabs>
          <w:tab w:val="left" w:pos="968"/>
          <w:tab w:val="left" w:pos="969"/>
        </w:tabs>
        <w:ind w:right="114"/>
        <w:jc w:val="left"/>
      </w:pPr>
      <w:r>
        <w:t>a change in circumstances during the period when disclosure of inside information is delayed;</w:t>
      </w:r>
    </w:p>
    <w:p w14:paraId="261E38A9" w14:textId="77777777" w:rsidR="00033ADF" w:rsidRDefault="00C17451">
      <w:pPr>
        <w:pStyle w:val="ListParagraph"/>
        <w:numPr>
          <w:ilvl w:val="0"/>
          <w:numId w:val="1"/>
        </w:numPr>
        <w:tabs>
          <w:tab w:val="left" w:pos="968"/>
          <w:tab w:val="left" w:pos="969"/>
        </w:tabs>
        <w:ind w:hanging="287"/>
        <w:jc w:val="left"/>
      </w:pPr>
      <w:r>
        <w:t>rumours relating to the Company;</w:t>
      </w:r>
      <w:r>
        <w:rPr>
          <w:spacing w:val="-3"/>
        </w:rPr>
        <w:t xml:space="preserve"> </w:t>
      </w:r>
      <w:r>
        <w:t>and</w:t>
      </w:r>
    </w:p>
    <w:p w14:paraId="70706576" w14:textId="77777777" w:rsidR="00033ADF" w:rsidRDefault="00C17451">
      <w:pPr>
        <w:pStyle w:val="ListParagraph"/>
        <w:numPr>
          <w:ilvl w:val="0"/>
          <w:numId w:val="1"/>
        </w:numPr>
        <w:tabs>
          <w:tab w:val="left" w:pos="968"/>
          <w:tab w:val="left" w:pos="969"/>
        </w:tabs>
        <w:spacing w:before="2" w:line="256" w:lineRule="auto"/>
        <w:ind w:right="115"/>
        <w:jc w:val="left"/>
      </w:pPr>
      <w:r>
        <w:t>in</w:t>
      </w:r>
      <w:r>
        <w:rPr>
          <w:spacing w:val="-7"/>
        </w:rPr>
        <w:t xml:space="preserve"> </w:t>
      </w:r>
      <w:r>
        <w:t>the</w:t>
      </w:r>
      <w:r>
        <w:rPr>
          <w:spacing w:val="-6"/>
        </w:rPr>
        <w:t xml:space="preserve"> </w:t>
      </w:r>
      <w:r>
        <w:t>case</w:t>
      </w:r>
      <w:r>
        <w:rPr>
          <w:spacing w:val="-7"/>
        </w:rPr>
        <w:t xml:space="preserve"> </w:t>
      </w:r>
      <w:r>
        <w:t>of</w:t>
      </w:r>
      <w:r>
        <w:rPr>
          <w:spacing w:val="-5"/>
        </w:rPr>
        <w:t xml:space="preserve"> </w:t>
      </w:r>
      <w:r>
        <w:t>a</w:t>
      </w:r>
      <w:r>
        <w:rPr>
          <w:spacing w:val="-9"/>
        </w:rPr>
        <w:t xml:space="preserve"> </w:t>
      </w:r>
      <w:r>
        <w:t>leak</w:t>
      </w:r>
      <w:r>
        <w:rPr>
          <w:spacing w:val="-5"/>
        </w:rPr>
        <w:t xml:space="preserve"> </w:t>
      </w:r>
      <w:r>
        <w:t>of</w:t>
      </w:r>
      <w:r>
        <w:rPr>
          <w:spacing w:val="-5"/>
        </w:rPr>
        <w:t xml:space="preserve"> </w:t>
      </w:r>
      <w:r>
        <w:t>inside</w:t>
      </w:r>
      <w:r>
        <w:rPr>
          <w:spacing w:val="-6"/>
        </w:rPr>
        <w:t xml:space="preserve"> </w:t>
      </w:r>
      <w:r>
        <w:t>information,</w:t>
      </w:r>
      <w:r>
        <w:rPr>
          <w:spacing w:val="-8"/>
        </w:rPr>
        <w:t xml:space="preserve"> </w:t>
      </w:r>
      <w:r>
        <w:t>and</w:t>
      </w:r>
      <w:r>
        <w:rPr>
          <w:spacing w:val="-9"/>
        </w:rPr>
        <w:t xml:space="preserve"> </w:t>
      </w:r>
      <w:r>
        <w:t>in</w:t>
      </w:r>
      <w:r>
        <w:rPr>
          <w:spacing w:val="-6"/>
        </w:rPr>
        <w:t xml:space="preserve"> </w:t>
      </w:r>
      <w:r>
        <w:t>particular</w:t>
      </w:r>
      <w:r>
        <w:rPr>
          <w:spacing w:val="-9"/>
        </w:rPr>
        <w:t xml:space="preserve"> </w:t>
      </w:r>
      <w:r>
        <w:t>the</w:t>
      </w:r>
      <w:r>
        <w:rPr>
          <w:spacing w:val="-9"/>
        </w:rPr>
        <w:t xml:space="preserve"> </w:t>
      </w:r>
      <w:r>
        <w:t>need</w:t>
      </w:r>
      <w:r>
        <w:rPr>
          <w:spacing w:val="-9"/>
        </w:rPr>
        <w:t xml:space="preserve"> </w:t>
      </w:r>
      <w:r>
        <w:t>to</w:t>
      </w:r>
      <w:r>
        <w:rPr>
          <w:spacing w:val="-6"/>
        </w:rPr>
        <w:t xml:space="preserve"> </w:t>
      </w:r>
      <w:r>
        <w:t>issue</w:t>
      </w:r>
      <w:r>
        <w:rPr>
          <w:spacing w:val="-7"/>
        </w:rPr>
        <w:t xml:space="preserve"> </w:t>
      </w:r>
      <w:r>
        <w:t>holding announcements.</w:t>
      </w:r>
    </w:p>
    <w:p w14:paraId="22F1574E" w14:textId="77777777" w:rsidR="00033ADF" w:rsidRDefault="00C17451">
      <w:pPr>
        <w:pStyle w:val="ListParagraph"/>
        <w:numPr>
          <w:ilvl w:val="1"/>
          <w:numId w:val="3"/>
        </w:numPr>
        <w:tabs>
          <w:tab w:val="left" w:pos="684"/>
        </w:tabs>
        <w:spacing w:before="3" w:line="259" w:lineRule="auto"/>
        <w:ind w:left="683" w:right="112"/>
        <w:jc w:val="both"/>
      </w:pPr>
      <w:r>
        <w:t>Considering and giving final approval for trading statements and / or results to be released on the Regulatory News</w:t>
      </w:r>
      <w:r>
        <w:rPr>
          <w:spacing w:val="-7"/>
        </w:rPr>
        <w:t xml:space="preserve"> </w:t>
      </w:r>
      <w:r>
        <w:t>Service;</w:t>
      </w:r>
    </w:p>
    <w:p w14:paraId="1FAF137F" w14:textId="77777777" w:rsidR="00033ADF" w:rsidRDefault="00C17451">
      <w:pPr>
        <w:pStyle w:val="ListParagraph"/>
        <w:numPr>
          <w:ilvl w:val="1"/>
          <w:numId w:val="3"/>
        </w:numPr>
        <w:tabs>
          <w:tab w:val="left" w:pos="684"/>
        </w:tabs>
        <w:spacing w:before="1" w:line="259" w:lineRule="auto"/>
        <w:ind w:left="683" w:right="111"/>
        <w:jc w:val="both"/>
      </w:pPr>
      <w:r>
        <w:t>Reviewing the content of and ensuring that all material regulatory announcements, transactional shareholder circulars, prospectuses, and any other documents issued by the</w:t>
      </w:r>
      <w:r>
        <w:rPr>
          <w:spacing w:val="-17"/>
        </w:rPr>
        <w:t xml:space="preserve"> </w:t>
      </w:r>
      <w:r>
        <w:t>Company</w:t>
      </w:r>
      <w:r>
        <w:rPr>
          <w:spacing w:val="-19"/>
        </w:rPr>
        <w:t xml:space="preserve"> </w:t>
      </w:r>
      <w:r>
        <w:t>under</w:t>
      </w:r>
      <w:r>
        <w:rPr>
          <w:spacing w:val="-18"/>
        </w:rPr>
        <w:t xml:space="preserve"> </w:t>
      </w:r>
      <w:r>
        <w:t>legal</w:t>
      </w:r>
      <w:r>
        <w:rPr>
          <w:spacing w:val="-20"/>
        </w:rPr>
        <w:t xml:space="preserve"> </w:t>
      </w:r>
      <w:r>
        <w:t>or</w:t>
      </w:r>
      <w:r>
        <w:rPr>
          <w:spacing w:val="-18"/>
        </w:rPr>
        <w:t xml:space="preserve"> </w:t>
      </w:r>
      <w:r>
        <w:t>regulatory</w:t>
      </w:r>
      <w:r>
        <w:rPr>
          <w:spacing w:val="-19"/>
        </w:rPr>
        <w:t xml:space="preserve"> </w:t>
      </w:r>
      <w:r>
        <w:t>obligations</w:t>
      </w:r>
      <w:r>
        <w:rPr>
          <w:spacing w:val="-19"/>
        </w:rPr>
        <w:t xml:space="preserve"> </w:t>
      </w:r>
      <w:r>
        <w:t>comply</w:t>
      </w:r>
      <w:r>
        <w:rPr>
          <w:spacing w:val="-19"/>
        </w:rPr>
        <w:t xml:space="preserve"> </w:t>
      </w:r>
      <w:r>
        <w:t>with</w:t>
      </w:r>
      <w:r>
        <w:rPr>
          <w:spacing w:val="-17"/>
        </w:rPr>
        <w:t xml:space="preserve"> </w:t>
      </w:r>
      <w:r>
        <w:t>applicable</w:t>
      </w:r>
      <w:r>
        <w:rPr>
          <w:spacing w:val="-17"/>
        </w:rPr>
        <w:t xml:space="preserve"> </w:t>
      </w:r>
      <w:r>
        <w:t>requirements.</w:t>
      </w:r>
    </w:p>
    <w:p w14:paraId="1A8B9F8B" w14:textId="77777777" w:rsidR="00033ADF" w:rsidRDefault="00033ADF">
      <w:pPr>
        <w:pStyle w:val="BodyText"/>
        <w:ind w:left="0" w:firstLine="0"/>
        <w:jc w:val="left"/>
        <w:rPr>
          <w:sz w:val="24"/>
        </w:rPr>
      </w:pPr>
    </w:p>
    <w:p w14:paraId="79745802" w14:textId="77777777" w:rsidR="00033ADF" w:rsidRDefault="00C17451">
      <w:pPr>
        <w:pStyle w:val="BodyText"/>
        <w:spacing w:before="155" w:line="259" w:lineRule="auto"/>
        <w:ind w:left="116" w:right="109" w:firstLine="0"/>
      </w:pPr>
      <w:r>
        <w:t>For the purpose of these Terms of Reference, inside information is defined as information that is of a precise nature, has not been made public, relates directly or indirectly to the Company, and if made public would be likely to have a significant effect on the price of the Company’s shares.</w:t>
      </w:r>
    </w:p>
    <w:sectPr w:rsidR="00033ADF">
      <w:pgSz w:w="11910" w:h="16850"/>
      <w:pgMar w:top="1580" w:right="1300" w:bottom="940" w:left="1420" w:header="456" w:footer="7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1A1D24" w14:textId="77777777" w:rsidR="00F8422F" w:rsidRDefault="00C17451">
      <w:r>
        <w:separator/>
      </w:r>
    </w:p>
  </w:endnote>
  <w:endnote w:type="continuationSeparator" w:id="0">
    <w:p w14:paraId="1C658AD3" w14:textId="77777777" w:rsidR="00F8422F" w:rsidRDefault="00C17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51F36" w14:textId="77777777" w:rsidR="00033ADF" w:rsidRDefault="00FB05F2">
    <w:pPr>
      <w:pStyle w:val="BodyText"/>
      <w:spacing w:line="14" w:lineRule="auto"/>
      <w:ind w:left="0" w:firstLine="0"/>
      <w:jc w:val="left"/>
      <w:rPr>
        <w:sz w:val="20"/>
      </w:rPr>
    </w:pPr>
    <w:r>
      <w:pict w14:anchorId="595388A2">
        <v:shapetype id="_x0000_t202" coordsize="21600,21600" o:spt="202" path="m,l,21600r21600,l21600,xe">
          <v:stroke joinstyle="miter"/>
          <v:path gradientshapeok="t" o:connecttype="rect"/>
        </v:shapetype>
        <v:shape id="_x0000_s1025" type="#_x0000_t202" style="position:absolute;margin-left:294.6pt;margin-top:793.5pt;width:12.15pt;height:14.35pt;z-index:-251772928;mso-position-horizontal-relative:page;mso-position-vertical-relative:page" filled="f" stroked="f">
          <v:textbox inset="0,0,0,0">
            <w:txbxContent>
              <w:p w14:paraId="74AD8CA9" w14:textId="77777777" w:rsidR="00033ADF" w:rsidRDefault="00C17451">
                <w:pPr>
                  <w:pStyle w:val="BodyText"/>
                  <w:spacing w:before="13"/>
                  <w:ind w:left="60" w:firstLine="0"/>
                  <w:jc w:val="left"/>
                </w:pPr>
                <w:r>
                  <w:fldChar w:fldCharType="begin"/>
                </w:r>
                <w: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612D9F" w14:textId="77777777" w:rsidR="00F8422F" w:rsidRDefault="00C17451">
      <w:r>
        <w:separator/>
      </w:r>
    </w:p>
  </w:footnote>
  <w:footnote w:type="continuationSeparator" w:id="0">
    <w:p w14:paraId="451EBDD2" w14:textId="77777777" w:rsidR="00F8422F" w:rsidRDefault="00C174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78322" w14:textId="77777777" w:rsidR="00033ADF" w:rsidRDefault="00C17451">
    <w:pPr>
      <w:pStyle w:val="BodyText"/>
      <w:spacing w:line="14" w:lineRule="auto"/>
      <w:ind w:left="0" w:firstLine="0"/>
      <w:jc w:val="left"/>
      <w:rPr>
        <w:sz w:val="20"/>
      </w:rPr>
    </w:pPr>
    <w:r>
      <w:rPr>
        <w:noProof/>
      </w:rPr>
      <w:drawing>
        <wp:anchor distT="0" distB="0" distL="0" distR="0" simplePos="0" relativeHeight="251658240" behindDoc="1" locked="0" layoutInCell="1" allowOverlap="1" wp14:anchorId="54DAC48A" wp14:editId="67B2C6C2">
          <wp:simplePos x="0" y="0"/>
          <wp:positionH relativeFrom="page">
            <wp:posOffset>565985</wp:posOffset>
          </wp:positionH>
          <wp:positionV relativeFrom="page">
            <wp:posOffset>289593</wp:posOffset>
          </wp:positionV>
          <wp:extent cx="1122912" cy="40363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122912" cy="403632"/>
                  </a:xfrm>
                  <a:prstGeom prst="rect">
                    <a:avLst/>
                  </a:prstGeom>
                </pic:spPr>
              </pic:pic>
            </a:graphicData>
          </a:graphic>
        </wp:anchor>
      </w:drawing>
    </w:r>
    <w:r w:rsidR="00FB05F2">
      <w:pict w14:anchorId="507FFE81">
        <v:line id="_x0000_s1026" style="position:absolute;z-index:-251773952;mso-position-horizontal-relative:page;mso-position-vertical-relative:page" from="32.75pt,73.7pt" to="525.95pt,73.7pt" strokeweight=".48pt">
          <w10:wrap anchorx="page" anchory="page"/>
        </v:lin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179CC"/>
    <w:multiLevelType w:val="multilevel"/>
    <w:tmpl w:val="118C7170"/>
    <w:lvl w:ilvl="0">
      <w:start w:val="3"/>
      <w:numFmt w:val="decimal"/>
      <w:lvlText w:val="%1"/>
      <w:lvlJc w:val="left"/>
      <w:pPr>
        <w:ind w:left="681" w:hanging="567"/>
        <w:jc w:val="left"/>
      </w:pPr>
      <w:rPr>
        <w:rFonts w:ascii="Arial" w:eastAsia="Arial" w:hAnsi="Arial" w:cs="Arial" w:hint="default"/>
        <w:b/>
        <w:bCs/>
        <w:w w:val="100"/>
        <w:sz w:val="22"/>
        <w:szCs w:val="22"/>
        <w:lang w:val="en-GB" w:eastAsia="en-GB" w:bidi="en-GB"/>
      </w:rPr>
    </w:lvl>
    <w:lvl w:ilvl="1">
      <w:start w:val="1"/>
      <w:numFmt w:val="decimal"/>
      <w:lvlText w:val="%1.%2"/>
      <w:lvlJc w:val="left"/>
      <w:pPr>
        <w:ind w:left="681" w:hanging="567"/>
        <w:jc w:val="left"/>
      </w:pPr>
      <w:rPr>
        <w:rFonts w:ascii="Arial" w:eastAsia="Arial" w:hAnsi="Arial" w:cs="Arial" w:hint="default"/>
        <w:spacing w:val="-1"/>
        <w:w w:val="100"/>
        <w:sz w:val="22"/>
        <w:szCs w:val="22"/>
        <w:lang w:val="en-GB" w:eastAsia="en-GB" w:bidi="en-GB"/>
      </w:rPr>
    </w:lvl>
    <w:lvl w:ilvl="2">
      <w:numFmt w:val="bullet"/>
      <w:lvlText w:val="•"/>
      <w:lvlJc w:val="left"/>
      <w:pPr>
        <w:ind w:left="2381" w:hanging="567"/>
      </w:pPr>
      <w:rPr>
        <w:rFonts w:hint="default"/>
        <w:lang w:val="en-GB" w:eastAsia="en-GB" w:bidi="en-GB"/>
      </w:rPr>
    </w:lvl>
    <w:lvl w:ilvl="3">
      <w:numFmt w:val="bullet"/>
      <w:lvlText w:val="•"/>
      <w:lvlJc w:val="left"/>
      <w:pPr>
        <w:ind w:left="3231" w:hanging="567"/>
      </w:pPr>
      <w:rPr>
        <w:rFonts w:hint="default"/>
        <w:lang w:val="en-GB" w:eastAsia="en-GB" w:bidi="en-GB"/>
      </w:rPr>
    </w:lvl>
    <w:lvl w:ilvl="4">
      <w:numFmt w:val="bullet"/>
      <w:lvlText w:val="•"/>
      <w:lvlJc w:val="left"/>
      <w:pPr>
        <w:ind w:left="4082" w:hanging="567"/>
      </w:pPr>
      <w:rPr>
        <w:rFonts w:hint="default"/>
        <w:lang w:val="en-GB" w:eastAsia="en-GB" w:bidi="en-GB"/>
      </w:rPr>
    </w:lvl>
    <w:lvl w:ilvl="5">
      <w:numFmt w:val="bullet"/>
      <w:lvlText w:val="•"/>
      <w:lvlJc w:val="left"/>
      <w:pPr>
        <w:ind w:left="4933" w:hanging="567"/>
      </w:pPr>
      <w:rPr>
        <w:rFonts w:hint="default"/>
        <w:lang w:val="en-GB" w:eastAsia="en-GB" w:bidi="en-GB"/>
      </w:rPr>
    </w:lvl>
    <w:lvl w:ilvl="6">
      <w:numFmt w:val="bullet"/>
      <w:lvlText w:val="•"/>
      <w:lvlJc w:val="left"/>
      <w:pPr>
        <w:ind w:left="5783" w:hanging="567"/>
      </w:pPr>
      <w:rPr>
        <w:rFonts w:hint="default"/>
        <w:lang w:val="en-GB" w:eastAsia="en-GB" w:bidi="en-GB"/>
      </w:rPr>
    </w:lvl>
    <w:lvl w:ilvl="7">
      <w:numFmt w:val="bullet"/>
      <w:lvlText w:val="•"/>
      <w:lvlJc w:val="left"/>
      <w:pPr>
        <w:ind w:left="6634" w:hanging="567"/>
      </w:pPr>
      <w:rPr>
        <w:rFonts w:hint="default"/>
        <w:lang w:val="en-GB" w:eastAsia="en-GB" w:bidi="en-GB"/>
      </w:rPr>
    </w:lvl>
    <w:lvl w:ilvl="8">
      <w:numFmt w:val="bullet"/>
      <w:lvlText w:val="•"/>
      <w:lvlJc w:val="left"/>
      <w:pPr>
        <w:ind w:left="7485" w:hanging="567"/>
      </w:pPr>
      <w:rPr>
        <w:rFonts w:hint="default"/>
        <w:lang w:val="en-GB" w:eastAsia="en-GB" w:bidi="en-GB"/>
      </w:rPr>
    </w:lvl>
  </w:abstractNum>
  <w:abstractNum w:abstractNumId="1" w15:restartNumberingAfterBreak="0">
    <w:nsid w:val="280C0F01"/>
    <w:multiLevelType w:val="hybridMultilevel"/>
    <w:tmpl w:val="9BE4E89E"/>
    <w:lvl w:ilvl="0" w:tplc="9D345EFE">
      <w:numFmt w:val="bullet"/>
      <w:lvlText w:val="-"/>
      <w:lvlJc w:val="left"/>
      <w:pPr>
        <w:ind w:left="968" w:hanging="286"/>
      </w:pPr>
      <w:rPr>
        <w:rFonts w:ascii="Arial" w:eastAsia="Arial" w:hAnsi="Arial" w:cs="Arial" w:hint="default"/>
        <w:w w:val="100"/>
        <w:sz w:val="22"/>
        <w:szCs w:val="22"/>
        <w:lang w:val="en-GB" w:eastAsia="en-GB" w:bidi="en-GB"/>
      </w:rPr>
    </w:lvl>
    <w:lvl w:ilvl="1" w:tplc="97BA550E">
      <w:numFmt w:val="bullet"/>
      <w:lvlText w:val="•"/>
      <w:lvlJc w:val="left"/>
      <w:pPr>
        <w:ind w:left="1782" w:hanging="286"/>
      </w:pPr>
      <w:rPr>
        <w:rFonts w:hint="default"/>
        <w:lang w:val="en-GB" w:eastAsia="en-GB" w:bidi="en-GB"/>
      </w:rPr>
    </w:lvl>
    <w:lvl w:ilvl="2" w:tplc="77A8E656">
      <w:numFmt w:val="bullet"/>
      <w:lvlText w:val="•"/>
      <w:lvlJc w:val="left"/>
      <w:pPr>
        <w:ind w:left="2605" w:hanging="286"/>
      </w:pPr>
      <w:rPr>
        <w:rFonts w:hint="default"/>
        <w:lang w:val="en-GB" w:eastAsia="en-GB" w:bidi="en-GB"/>
      </w:rPr>
    </w:lvl>
    <w:lvl w:ilvl="3" w:tplc="173A647C">
      <w:numFmt w:val="bullet"/>
      <w:lvlText w:val="•"/>
      <w:lvlJc w:val="left"/>
      <w:pPr>
        <w:ind w:left="3427" w:hanging="286"/>
      </w:pPr>
      <w:rPr>
        <w:rFonts w:hint="default"/>
        <w:lang w:val="en-GB" w:eastAsia="en-GB" w:bidi="en-GB"/>
      </w:rPr>
    </w:lvl>
    <w:lvl w:ilvl="4" w:tplc="448E6762">
      <w:numFmt w:val="bullet"/>
      <w:lvlText w:val="•"/>
      <w:lvlJc w:val="left"/>
      <w:pPr>
        <w:ind w:left="4250" w:hanging="286"/>
      </w:pPr>
      <w:rPr>
        <w:rFonts w:hint="default"/>
        <w:lang w:val="en-GB" w:eastAsia="en-GB" w:bidi="en-GB"/>
      </w:rPr>
    </w:lvl>
    <w:lvl w:ilvl="5" w:tplc="7452074C">
      <w:numFmt w:val="bullet"/>
      <w:lvlText w:val="•"/>
      <w:lvlJc w:val="left"/>
      <w:pPr>
        <w:ind w:left="5073" w:hanging="286"/>
      </w:pPr>
      <w:rPr>
        <w:rFonts w:hint="default"/>
        <w:lang w:val="en-GB" w:eastAsia="en-GB" w:bidi="en-GB"/>
      </w:rPr>
    </w:lvl>
    <w:lvl w:ilvl="6" w:tplc="4664B6BC">
      <w:numFmt w:val="bullet"/>
      <w:lvlText w:val="•"/>
      <w:lvlJc w:val="left"/>
      <w:pPr>
        <w:ind w:left="5895" w:hanging="286"/>
      </w:pPr>
      <w:rPr>
        <w:rFonts w:hint="default"/>
        <w:lang w:val="en-GB" w:eastAsia="en-GB" w:bidi="en-GB"/>
      </w:rPr>
    </w:lvl>
    <w:lvl w:ilvl="7" w:tplc="CAD4A7AC">
      <w:numFmt w:val="bullet"/>
      <w:lvlText w:val="•"/>
      <w:lvlJc w:val="left"/>
      <w:pPr>
        <w:ind w:left="6718" w:hanging="286"/>
      </w:pPr>
      <w:rPr>
        <w:rFonts w:hint="default"/>
        <w:lang w:val="en-GB" w:eastAsia="en-GB" w:bidi="en-GB"/>
      </w:rPr>
    </w:lvl>
    <w:lvl w:ilvl="8" w:tplc="E15E8708">
      <w:numFmt w:val="bullet"/>
      <w:lvlText w:val="•"/>
      <w:lvlJc w:val="left"/>
      <w:pPr>
        <w:ind w:left="7541" w:hanging="286"/>
      </w:pPr>
      <w:rPr>
        <w:rFonts w:hint="default"/>
        <w:lang w:val="en-GB" w:eastAsia="en-GB" w:bidi="en-GB"/>
      </w:rPr>
    </w:lvl>
  </w:abstractNum>
  <w:abstractNum w:abstractNumId="2" w15:restartNumberingAfterBreak="0">
    <w:nsid w:val="420737D6"/>
    <w:multiLevelType w:val="multilevel"/>
    <w:tmpl w:val="3D86BDA2"/>
    <w:lvl w:ilvl="0">
      <w:start w:val="1"/>
      <w:numFmt w:val="decimal"/>
      <w:lvlText w:val="%1."/>
      <w:lvlJc w:val="left"/>
      <w:pPr>
        <w:ind w:left="682" w:hanging="567"/>
        <w:jc w:val="left"/>
      </w:pPr>
      <w:rPr>
        <w:rFonts w:ascii="Arial" w:eastAsia="Arial" w:hAnsi="Arial" w:cs="Arial" w:hint="default"/>
        <w:b/>
        <w:bCs/>
        <w:spacing w:val="-1"/>
        <w:w w:val="100"/>
        <w:sz w:val="22"/>
        <w:szCs w:val="22"/>
        <w:lang w:val="en-GB" w:eastAsia="en-GB" w:bidi="en-GB"/>
      </w:rPr>
    </w:lvl>
    <w:lvl w:ilvl="1">
      <w:start w:val="1"/>
      <w:numFmt w:val="decimal"/>
      <w:lvlText w:val="%1.%2."/>
      <w:lvlJc w:val="left"/>
      <w:pPr>
        <w:ind w:left="681" w:hanging="567"/>
        <w:jc w:val="left"/>
      </w:pPr>
      <w:rPr>
        <w:rFonts w:ascii="Arial" w:eastAsia="Arial" w:hAnsi="Arial" w:cs="Arial" w:hint="default"/>
        <w:spacing w:val="-1"/>
        <w:w w:val="100"/>
        <w:sz w:val="22"/>
        <w:szCs w:val="22"/>
        <w:lang w:val="en-GB" w:eastAsia="en-GB" w:bidi="en-GB"/>
      </w:rPr>
    </w:lvl>
    <w:lvl w:ilvl="2">
      <w:numFmt w:val="bullet"/>
      <w:lvlText w:val="•"/>
      <w:lvlJc w:val="left"/>
      <w:pPr>
        <w:ind w:left="2381" w:hanging="567"/>
      </w:pPr>
      <w:rPr>
        <w:rFonts w:hint="default"/>
        <w:lang w:val="en-GB" w:eastAsia="en-GB" w:bidi="en-GB"/>
      </w:rPr>
    </w:lvl>
    <w:lvl w:ilvl="3">
      <w:numFmt w:val="bullet"/>
      <w:lvlText w:val="•"/>
      <w:lvlJc w:val="left"/>
      <w:pPr>
        <w:ind w:left="3231" w:hanging="567"/>
      </w:pPr>
      <w:rPr>
        <w:rFonts w:hint="default"/>
        <w:lang w:val="en-GB" w:eastAsia="en-GB" w:bidi="en-GB"/>
      </w:rPr>
    </w:lvl>
    <w:lvl w:ilvl="4">
      <w:numFmt w:val="bullet"/>
      <w:lvlText w:val="•"/>
      <w:lvlJc w:val="left"/>
      <w:pPr>
        <w:ind w:left="4082" w:hanging="567"/>
      </w:pPr>
      <w:rPr>
        <w:rFonts w:hint="default"/>
        <w:lang w:val="en-GB" w:eastAsia="en-GB" w:bidi="en-GB"/>
      </w:rPr>
    </w:lvl>
    <w:lvl w:ilvl="5">
      <w:numFmt w:val="bullet"/>
      <w:lvlText w:val="•"/>
      <w:lvlJc w:val="left"/>
      <w:pPr>
        <w:ind w:left="4933" w:hanging="567"/>
      </w:pPr>
      <w:rPr>
        <w:rFonts w:hint="default"/>
        <w:lang w:val="en-GB" w:eastAsia="en-GB" w:bidi="en-GB"/>
      </w:rPr>
    </w:lvl>
    <w:lvl w:ilvl="6">
      <w:numFmt w:val="bullet"/>
      <w:lvlText w:val="•"/>
      <w:lvlJc w:val="left"/>
      <w:pPr>
        <w:ind w:left="5783" w:hanging="567"/>
      </w:pPr>
      <w:rPr>
        <w:rFonts w:hint="default"/>
        <w:lang w:val="en-GB" w:eastAsia="en-GB" w:bidi="en-GB"/>
      </w:rPr>
    </w:lvl>
    <w:lvl w:ilvl="7">
      <w:numFmt w:val="bullet"/>
      <w:lvlText w:val="•"/>
      <w:lvlJc w:val="left"/>
      <w:pPr>
        <w:ind w:left="6634" w:hanging="567"/>
      </w:pPr>
      <w:rPr>
        <w:rFonts w:hint="default"/>
        <w:lang w:val="en-GB" w:eastAsia="en-GB" w:bidi="en-GB"/>
      </w:rPr>
    </w:lvl>
    <w:lvl w:ilvl="8">
      <w:numFmt w:val="bullet"/>
      <w:lvlText w:val="•"/>
      <w:lvlJc w:val="left"/>
      <w:pPr>
        <w:ind w:left="7485" w:hanging="567"/>
      </w:pPr>
      <w:rPr>
        <w:rFonts w:hint="default"/>
        <w:lang w:val="en-GB" w:eastAsia="en-GB" w:bidi="en-GB"/>
      </w:rPr>
    </w:lvl>
  </w:abstractNum>
  <w:abstractNum w:abstractNumId="3" w15:restartNumberingAfterBreak="0">
    <w:nsid w:val="71801D31"/>
    <w:multiLevelType w:val="hybridMultilevel"/>
    <w:tmpl w:val="420E6918"/>
    <w:lvl w:ilvl="0" w:tplc="480687B2">
      <w:numFmt w:val="bullet"/>
      <w:lvlText w:val="-"/>
      <w:lvlJc w:val="left"/>
      <w:pPr>
        <w:ind w:left="966" w:hanging="286"/>
      </w:pPr>
      <w:rPr>
        <w:rFonts w:ascii="Arial" w:eastAsia="Arial" w:hAnsi="Arial" w:cs="Arial" w:hint="default"/>
        <w:w w:val="100"/>
        <w:sz w:val="22"/>
        <w:szCs w:val="22"/>
        <w:lang w:val="en-GB" w:eastAsia="en-GB" w:bidi="en-GB"/>
      </w:rPr>
    </w:lvl>
    <w:lvl w:ilvl="1" w:tplc="1966D8A2">
      <w:numFmt w:val="bullet"/>
      <w:lvlText w:val="•"/>
      <w:lvlJc w:val="left"/>
      <w:pPr>
        <w:ind w:left="1782" w:hanging="286"/>
      </w:pPr>
      <w:rPr>
        <w:rFonts w:hint="default"/>
        <w:lang w:val="en-GB" w:eastAsia="en-GB" w:bidi="en-GB"/>
      </w:rPr>
    </w:lvl>
    <w:lvl w:ilvl="2" w:tplc="5F7A2736">
      <w:numFmt w:val="bullet"/>
      <w:lvlText w:val="•"/>
      <w:lvlJc w:val="left"/>
      <w:pPr>
        <w:ind w:left="2605" w:hanging="286"/>
      </w:pPr>
      <w:rPr>
        <w:rFonts w:hint="default"/>
        <w:lang w:val="en-GB" w:eastAsia="en-GB" w:bidi="en-GB"/>
      </w:rPr>
    </w:lvl>
    <w:lvl w:ilvl="3" w:tplc="A434F484">
      <w:numFmt w:val="bullet"/>
      <w:lvlText w:val="•"/>
      <w:lvlJc w:val="left"/>
      <w:pPr>
        <w:ind w:left="3427" w:hanging="286"/>
      </w:pPr>
      <w:rPr>
        <w:rFonts w:hint="default"/>
        <w:lang w:val="en-GB" w:eastAsia="en-GB" w:bidi="en-GB"/>
      </w:rPr>
    </w:lvl>
    <w:lvl w:ilvl="4" w:tplc="1138E3A0">
      <w:numFmt w:val="bullet"/>
      <w:lvlText w:val="•"/>
      <w:lvlJc w:val="left"/>
      <w:pPr>
        <w:ind w:left="4250" w:hanging="286"/>
      </w:pPr>
      <w:rPr>
        <w:rFonts w:hint="default"/>
        <w:lang w:val="en-GB" w:eastAsia="en-GB" w:bidi="en-GB"/>
      </w:rPr>
    </w:lvl>
    <w:lvl w:ilvl="5" w:tplc="13F0612C">
      <w:numFmt w:val="bullet"/>
      <w:lvlText w:val="•"/>
      <w:lvlJc w:val="left"/>
      <w:pPr>
        <w:ind w:left="5073" w:hanging="286"/>
      </w:pPr>
      <w:rPr>
        <w:rFonts w:hint="default"/>
        <w:lang w:val="en-GB" w:eastAsia="en-GB" w:bidi="en-GB"/>
      </w:rPr>
    </w:lvl>
    <w:lvl w:ilvl="6" w:tplc="473C37A8">
      <w:numFmt w:val="bullet"/>
      <w:lvlText w:val="•"/>
      <w:lvlJc w:val="left"/>
      <w:pPr>
        <w:ind w:left="5895" w:hanging="286"/>
      </w:pPr>
      <w:rPr>
        <w:rFonts w:hint="default"/>
        <w:lang w:val="en-GB" w:eastAsia="en-GB" w:bidi="en-GB"/>
      </w:rPr>
    </w:lvl>
    <w:lvl w:ilvl="7" w:tplc="86421CCA">
      <w:numFmt w:val="bullet"/>
      <w:lvlText w:val="•"/>
      <w:lvlJc w:val="left"/>
      <w:pPr>
        <w:ind w:left="6718" w:hanging="286"/>
      </w:pPr>
      <w:rPr>
        <w:rFonts w:hint="default"/>
        <w:lang w:val="en-GB" w:eastAsia="en-GB" w:bidi="en-GB"/>
      </w:rPr>
    </w:lvl>
    <w:lvl w:ilvl="8" w:tplc="C3E25ECA">
      <w:numFmt w:val="bullet"/>
      <w:lvlText w:val="•"/>
      <w:lvlJc w:val="left"/>
      <w:pPr>
        <w:ind w:left="7541" w:hanging="286"/>
      </w:pPr>
      <w:rPr>
        <w:rFonts w:hint="default"/>
        <w:lang w:val="en-GB" w:eastAsia="en-GB" w:bidi="en-GB"/>
      </w:rPr>
    </w:lvl>
  </w:abstractNum>
  <w:abstractNum w:abstractNumId="4" w15:restartNumberingAfterBreak="0">
    <w:nsid w:val="736420E5"/>
    <w:multiLevelType w:val="multilevel"/>
    <w:tmpl w:val="60AABC9C"/>
    <w:lvl w:ilvl="0">
      <w:start w:val="2"/>
      <w:numFmt w:val="decimal"/>
      <w:lvlText w:val="%1"/>
      <w:lvlJc w:val="left"/>
      <w:pPr>
        <w:ind w:left="681" w:hanging="567"/>
        <w:jc w:val="left"/>
      </w:pPr>
      <w:rPr>
        <w:rFonts w:hint="default"/>
        <w:lang w:val="en-GB" w:eastAsia="en-GB" w:bidi="en-GB"/>
      </w:rPr>
    </w:lvl>
    <w:lvl w:ilvl="1">
      <w:start w:val="1"/>
      <w:numFmt w:val="decimal"/>
      <w:lvlText w:val="%1.%2"/>
      <w:lvlJc w:val="left"/>
      <w:pPr>
        <w:ind w:left="681" w:hanging="567"/>
        <w:jc w:val="left"/>
      </w:pPr>
      <w:rPr>
        <w:rFonts w:ascii="Arial" w:eastAsia="Arial" w:hAnsi="Arial" w:cs="Arial" w:hint="default"/>
        <w:spacing w:val="-1"/>
        <w:w w:val="100"/>
        <w:sz w:val="22"/>
        <w:szCs w:val="22"/>
        <w:lang w:val="en-GB" w:eastAsia="en-GB" w:bidi="en-GB"/>
      </w:rPr>
    </w:lvl>
    <w:lvl w:ilvl="2">
      <w:numFmt w:val="bullet"/>
      <w:lvlText w:val="•"/>
      <w:lvlJc w:val="left"/>
      <w:pPr>
        <w:ind w:left="2381" w:hanging="567"/>
      </w:pPr>
      <w:rPr>
        <w:rFonts w:hint="default"/>
        <w:lang w:val="en-GB" w:eastAsia="en-GB" w:bidi="en-GB"/>
      </w:rPr>
    </w:lvl>
    <w:lvl w:ilvl="3">
      <w:numFmt w:val="bullet"/>
      <w:lvlText w:val="•"/>
      <w:lvlJc w:val="left"/>
      <w:pPr>
        <w:ind w:left="3231" w:hanging="567"/>
      </w:pPr>
      <w:rPr>
        <w:rFonts w:hint="default"/>
        <w:lang w:val="en-GB" w:eastAsia="en-GB" w:bidi="en-GB"/>
      </w:rPr>
    </w:lvl>
    <w:lvl w:ilvl="4">
      <w:numFmt w:val="bullet"/>
      <w:lvlText w:val="•"/>
      <w:lvlJc w:val="left"/>
      <w:pPr>
        <w:ind w:left="4082" w:hanging="567"/>
      </w:pPr>
      <w:rPr>
        <w:rFonts w:hint="default"/>
        <w:lang w:val="en-GB" w:eastAsia="en-GB" w:bidi="en-GB"/>
      </w:rPr>
    </w:lvl>
    <w:lvl w:ilvl="5">
      <w:numFmt w:val="bullet"/>
      <w:lvlText w:val="•"/>
      <w:lvlJc w:val="left"/>
      <w:pPr>
        <w:ind w:left="4933" w:hanging="567"/>
      </w:pPr>
      <w:rPr>
        <w:rFonts w:hint="default"/>
        <w:lang w:val="en-GB" w:eastAsia="en-GB" w:bidi="en-GB"/>
      </w:rPr>
    </w:lvl>
    <w:lvl w:ilvl="6">
      <w:numFmt w:val="bullet"/>
      <w:lvlText w:val="•"/>
      <w:lvlJc w:val="left"/>
      <w:pPr>
        <w:ind w:left="5783" w:hanging="567"/>
      </w:pPr>
      <w:rPr>
        <w:rFonts w:hint="default"/>
        <w:lang w:val="en-GB" w:eastAsia="en-GB" w:bidi="en-GB"/>
      </w:rPr>
    </w:lvl>
    <w:lvl w:ilvl="7">
      <w:numFmt w:val="bullet"/>
      <w:lvlText w:val="•"/>
      <w:lvlJc w:val="left"/>
      <w:pPr>
        <w:ind w:left="6634" w:hanging="567"/>
      </w:pPr>
      <w:rPr>
        <w:rFonts w:hint="default"/>
        <w:lang w:val="en-GB" w:eastAsia="en-GB" w:bidi="en-GB"/>
      </w:rPr>
    </w:lvl>
    <w:lvl w:ilvl="8">
      <w:numFmt w:val="bullet"/>
      <w:lvlText w:val="•"/>
      <w:lvlJc w:val="left"/>
      <w:pPr>
        <w:ind w:left="7485" w:hanging="567"/>
      </w:pPr>
      <w:rPr>
        <w:rFonts w:hint="default"/>
        <w:lang w:val="en-GB" w:eastAsia="en-GB" w:bidi="en-GB"/>
      </w:rPr>
    </w:lvl>
  </w:abstractNum>
  <w:abstractNum w:abstractNumId="5" w15:restartNumberingAfterBreak="0">
    <w:nsid w:val="7CA52588"/>
    <w:multiLevelType w:val="multilevel"/>
    <w:tmpl w:val="2F982428"/>
    <w:lvl w:ilvl="0">
      <w:start w:val="4"/>
      <w:numFmt w:val="decimal"/>
      <w:lvlText w:val="%1."/>
      <w:lvlJc w:val="left"/>
      <w:pPr>
        <w:ind w:left="681" w:hanging="567"/>
        <w:jc w:val="left"/>
      </w:pPr>
      <w:rPr>
        <w:rFonts w:ascii="Arial" w:eastAsia="Arial" w:hAnsi="Arial" w:cs="Arial" w:hint="default"/>
        <w:b/>
        <w:bCs/>
        <w:spacing w:val="-1"/>
        <w:w w:val="100"/>
        <w:sz w:val="22"/>
        <w:szCs w:val="22"/>
        <w:lang w:val="en-GB" w:eastAsia="en-GB" w:bidi="en-GB"/>
      </w:rPr>
    </w:lvl>
    <w:lvl w:ilvl="1">
      <w:start w:val="1"/>
      <w:numFmt w:val="decimal"/>
      <w:lvlText w:val="%1.%2"/>
      <w:lvlJc w:val="left"/>
      <w:pPr>
        <w:ind w:left="681" w:hanging="567"/>
        <w:jc w:val="left"/>
      </w:pPr>
      <w:rPr>
        <w:rFonts w:ascii="Arial" w:eastAsia="Arial" w:hAnsi="Arial" w:cs="Arial" w:hint="default"/>
        <w:spacing w:val="-1"/>
        <w:w w:val="100"/>
        <w:sz w:val="22"/>
        <w:szCs w:val="22"/>
        <w:lang w:val="en-GB" w:eastAsia="en-GB" w:bidi="en-GB"/>
      </w:rPr>
    </w:lvl>
    <w:lvl w:ilvl="2">
      <w:start w:val="1"/>
      <w:numFmt w:val="decimal"/>
      <w:lvlText w:val="%1.%2.%3"/>
      <w:lvlJc w:val="left"/>
      <w:pPr>
        <w:ind w:left="1392" w:hanging="711"/>
        <w:jc w:val="left"/>
      </w:pPr>
      <w:rPr>
        <w:rFonts w:ascii="Arial" w:eastAsia="Arial" w:hAnsi="Arial" w:cs="Arial" w:hint="default"/>
        <w:spacing w:val="-1"/>
        <w:w w:val="100"/>
        <w:sz w:val="22"/>
        <w:szCs w:val="22"/>
        <w:lang w:val="en-GB" w:eastAsia="en-GB" w:bidi="en-GB"/>
      </w:rPr>
    </w:lvl>
    <w:lvl w:ilvl="3">
      <w:numFmt w:val="bullet"/>
      <w:lvlText w:val="•"/>
      <w:lvlJc w:val="left"/>
      <w:pPr>
        <w:ind w:left="3130" w:hanging="711"/>
      </w:pPr>
      <w:rPr>
        <w:rFonts w:hint="default"/>
        <w:lang w:val="en-GB" w:eastAsia="en-GB" w:bidi="en-GB"/>
      </w:rPr>
    </w:lvl>
    <w:lvl w:ilvl="4">
      <w:numFmt w:val="bullet"/>
      <w:lvlText w:val="•"/>
      <w:lvlJc w:val="left"/>
      <w:pPr>
        <w:ind w:left="3995" w:hanging="711"/>
      </w:pPr>
      <w:rPr>
        <w:rFonts w:hint="default"/>
        <w:lang w:val="en-GB" w:eastAsia="en-GB" w:bidi="en-GB"/>
      </w:rPr>
    </w:lvl>
    <w:lvl w:ilvl="5">
      <w:numFmt w:val="bullet"/>
      <w:lvlText w:val="•"/>
      <w:lvlJc w:val="left"/>
      <w:pPr>
        <w:ind w:left="4860" w:hanging="711"/>
      </w:pPr>
      <w:rPr>
        <w:rFonts w:hint="default"/>
        <w:lang w:val="en-GB" w:eastAsia="en-GB" w:bidi="en-GB"/>
      </w:rPr>
    </w:lvl>
    <w:lvl w:ilvl="6">
      <w:numFmt w:val="bullet"/>
      <w:lvlText w:val="•"/>
      <w:lvlJc w:val="left"/>
      <w:pPr>
        <w:ind w:left="5725" w:hanging="711"/>
      </w:pPr>
      <w:rPr>
        <w:rFonts w:hint="default"/>
        <w:lang w:val="en-GB" w:eastAsia="en-GB" w:bidi="en-GB"/>
      </w:rPr>
    </w:lvl>
    <w:lvl w:ilvl="7">
      <w:numFmt w:val="bullet"/>
      <w:lvlText w:val="•"/>
      <w:lvlJc w:val="left"/>
      <w:pPr>
        <w:ind w:left="6590" w:hanging="711"/>
      </w:pPr>
      <w:rPr>
        <w:rFonts w:hint="default"/>
        <w:lang w:val="en-GB" w:eastAsia="en-GB" w:bidi="en-GB"/>
      </w:rPr>
    </w:lvl>
    <w:lvl w:ilvl="8">
      <w:numFmt w:val="bullet"/>
      <w:lvlText w:val="•"/>
      <w:lvlJc w:val="left"/>
      <w:pPr>
        <w:ind w:left="7456" w:hanging="711"/>
      </w:pPr>
      <w:rPr>
        <w:rFonts w:hint="default"/>
        <w:lang w:val="en-GB" w:eastAsia="en-GB" w:bidi="en-GB"/>
      </w:rPr>
    </w:lvl>
  </w:abstractNum>
  <w:num w:numId="1">
    <w:abstractNumId w:val="1"/>
  </w:num>
  <w:num w:numId="2">
    <w:abstractNumId w:val="3"/>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033ADF"/>
    <w:rsid w:val="00033ADF"/>
    <w:rsid w:val="0056417D"/>
    <w:rsid w:val="00C17451"/>
    <w:rsid w:val="00F748D9"/>
    <w:rsid w:val="00F8422F"/>
    <w:rsid w:val="00FB05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331EA7"/>
  <w15:docId w15:val="{D9A2963F-04A2-43E5-BBC1-FC6A391B0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ind w:left="681" w:hanging="567"/>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82" w:hanging="567"/>
      <w:jc w:val="both"/>
    </w:pPr>
  </w:style>
  <w:style w:type="paragraph" w:styleId="ListParagraph">
    <w:name w:val="List Paragraph"/>
    <w:basedOn w:val="Normal"/>
    <w:uiPriority w:val="1"/>
    <w:qFormat/>
    <w:pPr>
      <w:ind w:left="681" w:hanging="567"/>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9E3FC042F5D042A2FF01176FD2C42B" ma:contentTypeVersion="13" ma:contentTypeDescription="Create a new document." ma:contentTypeScope="" ma:versionID="e2684a07de86603380df47837a06e14b">
  <xsd:schema xmlns:xsd="http://www.w3.org/2001/XMLSchema" xmlns:xs="http://www.w3.org/2001/XMLSchema" xmlns:p="http://schemas.microsoft.com/office/2006/metadata/properties" xmlns:ns2="bf84662d-26eb-45a5-964d-a55a22cf70f1" xmlns:ns3="fa29f9b4-e1f3-4b25-9220-6751ae1df7fd" targetNamespace="http://schemas.microsoft.com/office/2006/metadata/properties" ma:root="true" ma:fieldsID="90ab8158a17ce983a596a47e043e1c1e" ns2:_="" ns3:_="">
    <xsd:import namespace="bf84662d-26eb-45a5-964d-a55a22cf70f1"/>
    <xsd:import namespace="fa29f9b4-e1f3-4b25-9220-6751ae1df7f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84662d-26eb-45a5-964d-a55a22cf70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a29f9b4-e1f3-4b25-9220-6751ae1df7f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D892EF-45E8-484F-920E-3E0CB78342D0}"/>
</file>

<file path=customXml/itemProps2.xml><?xml version="1.0" encoding="utf-8"?>
<ds:datastoreItem xmlns:ds="http://schemas.openxmlformats.org/officeDocument/2006/customXml" ds:itemID="{BD87A4CA-4FFF-4D5E-9EF8-2CA7DB466946}"/>
</file>

<file path=customXml/itemProps3.xml><?xml version="1.0" encoding="utf-8"?>
<ds:datastoreItem xmlns:ds="http://schemas.openxmlformats.org/officeDocument/2006/customXml" ds:itemID="{0457D432-799F-42EA-AF7C-78F23432120F}"/>
</file>

<file path=docProps/app.xml><?xml version="1.0" encoding="utf-8"?>
<Properties xmlns="http://schemas.openxmlformats.org/officeDocument/2006/extended-properties" xmlns:vt="http://schemas.openxmlformats.org/officeDocument/2006/docPropsVTypes">
  <Template>Normal</Template>
  <TotalTime>3</TotalTime>
  <Pages>3</Pages>
  <Words>1265</Words>
  <Characters>7216</Characters>
  <Application>Microsoft Office Word</Application>
  <DocSecurity>0</DocSecurity>
  <Lines>60</Lines>
  <Paragraphs>16</Paragraphs>
  <ScaleCrop>false</ScaleCrop>
  <Company/>
  <LinksUpToDate>false</LinksUpToDate>
  <CharactersWithSpaces>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Scheduled audit committee meetings</dc:title>
  <dc:creator>GERRAP02</dc:creator>
  <cp:lastModifiedBy>Sarah Thomas (Dep CoSec)</cp:lastModifiedBy>
  <cp:revision>3</cp:revision>
  <dcterms:created xsi:type="dcterms:W3CDTF">2021-01-14T22:58:00Z</dcterms:created>
  <dcterms:modified xsi:type="dcterms:W3CDTF">2021-01-27T20:20:00Z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2019-03-21T00:00:00Z</vt:filetime>
  </property>
  <property fmtid="{D5CDD505-2E9C-101B-9397-08002B2CF9AE}" pid="3" name="Creator">
    <vt:lpwstr>Acrobat PDFMaker 19 for Word</vt:lpwstr>
  </property>
  <property fmtid="{D5CDD505-2E9C-101B-9397-08002B2CF9AE}" pid="4" name="LastSaved">
    <vt:filetime>2019-12-03T00:00:00Z</vt:filetime>
  </property>
  <property fmtid="{D5CDD505-2E9C-101B-9397-08002B2CF9AE}" pid="5" name="ContentTypeId">
    <vt:lpwstr>0x010100279E3FC042F5D042A2FF01176FD2C42B</vt:lpwstr>
  </property>
</Properties>
</file>